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sz w:val="24"/>
          <w:szCs w:val="24"/>
        </w:rPr>
      </w:pPr>
      <w:r>
        <w:rPr>
          <w:rFonts w:cs="Times New Roman"/>
          <w:sz w:val="24"/>
          <w:szCs w:val="24"/>
        </w:rPr>
        <w:t>Российская Федерация</w:t>
      </w:r>
    </w:p>
    <w:p>
      <w:pPr>
        <w:pStyle w:val="Normal"/>
        <w:spacing w:lineRule="auto" w:line="240" w:before="0" w:after="0"/>
        <w:jc w:val="center"/>
        <w:rPr>
          <w:rFonts w:ascii="Times New Roman" w:hAnsi="Times New Roman" w:cs="Times New Roman"/>
          <w:sz w:val="24"/>
          <w:szCs w:val="24"/>
        </w:rPr>
      </w:pPr>
      <w:r>
        <w:rPr>
          <w:rFonts w:cs="Times New Roman"/>
          <w:sz w:val="24"/>
          <w:szCs w:val="24"/>
        </w:rPr>
        <w:t>Республика Хакасия</w:t>
      </w:r>
    </w:p>
    <w:p>
      <w:pPr>
        <w:pStyle w:val="Normal"/>
        <w:spacing w:lineRule="auto" w:line="240" w:before="0" w:after="0"/>
        <w:ind w:left="0" w:right="10" w:hanging="0"/>
        <w:jc w:val="center"/>
        <w:rPr>
          <w:rFonts w:ascii="Times New Roman" w:hAnsi="Times New Roman" w:cs="Times New Roman"/>
          <w:b/>
          <w:b/>
          <w:sz w:val="24"/>
          <w:szCs w:val="24"/>
        </w:rPr>
      </w:pPr>
      <w:r>
        <w:rPr>
          <w:rFonts w:cs="Times New Roman"/>
          <w:sz w:val="24"/>
          <w:szCs w:val="24"/>
        </w:rPr>
        <w:t xml:space="preserve">Администрация </w:t>
      </w:r>
      <w:r>
        <w:rPr>
          <w:rFonts w:cs="Times New Roman"/>
          <w:sz w:val="24"/>
          <w:szCs w:val="24"/>
        </w:rPr>
        <w:t>Нижнесирского сельсовета</w:t>
      </w:r>
    </w:p>
    <w:p>
      <w:pPr>
        <w:pStyle w:val="Normal"/>
        <w:spacing w:lineRule="auto" w:line="240" w:before="0" w:after="0"/>
        <w:ind w:left="0" w:right="10" w:hanging="0"/>
        <w:jc w:val="center"/>
        <w:rPr>
          <w:rFonts w:ascii="Times New Roman" w:hAnsi="Times New Roman" w:cs="Times New Roman"/>
          <w:b/>
          <w:b/>
          <w:sz w:val="24"/>
          <w:szCs w:val="24"/>
        </w:rPr>
      </w:pPr>
      <w:r>
        <w:rPr>
          <w:rFonts w:cs="Times New Roman"/>
          <w:color w:val="000000"/>
          <w:sz w:val="24"/>
          <w:szCs w:val="24"/>
        </w:rPr>
        <w:t>Тащтыпского</w:t>
      </w:r>
      <w:r>
        <w:rPr>
          <w:rFonts w:cs="Times New Roman"/>
          <w:sz w:val="24"/>
          <w:szCs w:val="24"/>
        </w:rPr>
        <w:t xml:space="preserve"> района</w:t>
      </w:r>
    </w:p>
    <w:p>
      <w:pPr>
        <w:pStyle w:val="Normal"/>
        <w:spacing w:lineRule="auto" w:line="259" w:before="0" w:after="0"/>
        <w:ind w:left="0" w:right="10" w:hanging="0"/>
        <w:jc w:val="center"/>
        <w:rPr>
          <w:sz w:val="48"/>
        </w:rPr>
      </w:pPr>
      <w:r>
        <w:rPr>
          <w:sz w:val="28"/>
        </w:rPr>
      </w:r>
    </w:p>
    <w:p>
      <w:pPr>
        <w:pStyle w:val="Normal"/>
        <w:tabs>
          <w:tab w:val="clear" w:pos="708"/>
          <w:tab w:val="left" w:pos="8505" w:leader="none"/>
        </w:tabs>
        <w:spacing w:lineRule="auto" w:line="240" w:before="0" w:after="0"/>
        <w:jc w:val="center"/>
        <w:rPr>
          <w:rFonts w:ascii="Times New Roman" w:hAnsi="Times New Roman" w:cs="Times New Roman"/>
          <w:sz w:val="24"/>
          <w:szCs w:val="24"/>
        </w:rPr>
      </w:pPr>
      <w:r>
        <w:rPr>
          <w:rFonts w:cs="Times New Roman"/>
          <w:sz w:val="24"/>
          <w:szCs w:val="24"/>
        </w:rPr>
        <w:t>ПОСТАНОВЛЕНИЕ</w:t>
      </w:r>
    </w:p>
    <w:p>
      <w:pPr>
        <w:pStyle w:val="Normal"/>
        <w:spacing w:lineRule="auto" w:line="240" w:before="0" w:after="0"/>
        <w:rPr>
          <w:rFonts w:ascii="Times New Roman" w:hAnsi="Times New Roman" w:cs="Times New Roman"/>
          <w:sz w:val="24"/>
          <w:szCs w:val="24"/>
        </w:rPr>
      </w:pPr>
      <w:r>
        <w:rPr>
          <w:rFonts w:cs="Times New Roman"/>
          <w:sz w:val="24"/>
          <w:szCs w:val="24"/>
        </w:rPr>
      </w:r>
    </w:p>
    <w:p>
      <w:pPr>
        <w:pStyle w:val="Normal"/>
        <w:spacing w:lineRule="auto" w:line="240" w:before="0" w:after="0"/>
        <w:rPr>
          <w:rFonts w:ascii="Times New Roman" w:hAnsi="Times New Roman" w:cs="Times New Roman"/>
          <w:sz w:val="24"/>
          <w:szCs w:val="24"/>
        </w:rPr>
      </w:pPr>
      <w:r>
        <w:rPr>
          <w:rFonts w:cs="Times New Roman"/>
          <w:sz w:val="24"/>
          <w:szCs w:val="24"/>
        </w:rPr>
        <w:t>12</w:t>
      </w:r>
      <w:r>
        <w:rPr>
          <w:rFonts w:cs="Times New Roman"/>
          <w:sz w:val="24"/>
          <w:szCs w:val="24"/>
        </w:rPr>
        <w:t xml:space="preserve">  февраля  2024 г.</w:t>
        <w:tab/>
        <w:tab/>
        <w:t xml:space="preserve">                 с. </w:t>
      </w:r>
      <w:r>
        <w:rPr>
          <w:rFonts w:cs="Times New Roman"/>
          <w:sz w:val="24"/>
          <w:szCs w:val="24"/>
        </w:rPr>
        <w:t>Нижние Сиры</w:t>
      </w:r>
      <w:r>
        <w:rPr>
          <w:rFonts w:cs="Times New Roman"/>
          <w:sz w:val="24"/>
          <w:szCs w:val="24"/>
        </w:rPr>
        <w:t xml:space="preserve">                              </w:t>
        <w:tab/>
        <w:tab/>
        <w:t xml:space="preserve">    № 1</w:t>
      </w:r>
      <w:r>
        <w:rPr>
          <w:rFonts w:cs="Times New Roman"/>
          <w:sz w:val="24"/>
          <w:szCs w:val="24"/>
        </w:rPr>
        <w:t>0</w:t>
      </w:r>
    </w:p>
    <w:p>
      <w:pPr>
        <w:pStyle w:val="Normal"/>
        <w:ind w:right="4" w:hanging="0"/>
        <w:rPr>
          <w:rFonts w:ascii="Times New Roman" w:hAnsi="Times New Roman" w:cs="Times New Roman"/>
          <w:sz w:val="28"/>
          <w:szCs w:val="24"/>
        </w:rPr>
      </w:pPr>
      <w:r>
        <w:rPr/>
      </w:r>
    </w:p>
    <w:p>
      <w:pPr>
        <w:pStyle w:val="Normal"/>
        <w:ind w:right="4" w:hanging="0"/>
        <w:rPr/>
      </w:pPr>
      <w:r>
        <w:rPr/>
        <w:t>О внесении изменений в Постановление от</w:t>
      </w:r>
    </w:p>
    <w:p>
      <w:pPr>
        <w:pStyle w:val="Normal"/>
        <w:tabs>
          <w:tab w:val="clear" w:pos="708"/>
          <w:tab w:val="center" w:pos="3499" w:leader="none"/>
        </w:tabs>
        <w:spacing w:before="0" w:after="91"/>
        <w:ind w:left="0" w:hanging="0"/>
        <w:jc w:val="left"/>
        <w:rPr/>
      </w:pPr>
      <w:r>
        <w:rPr/>
        <w:t>24.06</w:t>
      </w:r>
      <w:r>
        <w:rPr/>
        <w:t>.20</w:t>
      </w:r>
      <w:r>
        <w:rPr/>
        <w:t xml:space="preserve">21  </w:t>
      </w:r>
      <w:r>
        <w:rPr/>
        <w:t>№47</w:t>
      </w:r>
      <w:r>
        <w:rPr/>
        <w:t xml:space="preserve"> </w:t>
        <w:tab/>
      </w:r>
    </w:p>
    <w:p>
      <w:pPr>
        <w:pStyle w:val="Normal"/>
        <w:tabs>
          <w:tab w:val="clear" w:pos="708"/>
          <w:tab w:val="center" w:pos="3499" w:leader="none"/>
        </w:tabs>
        <w:spacing w:lineRule="auto" w:before="0" w:after="91"/>
        <w:ind w:left="0" w:hanging="0"/>
        <w:jc w:val="left"/>
        <w:rPr/>
      </w:pPr>
      <w:r>
        <w:rPr/>
        <w:t>«Об утверждении Порядка</w:t>
      </w:r>
    </w:p>
    <w:p>
      <w:pPr>
        <w:pStyle w:val="Normal"/>
        <w:tabs>
          <w:tab w:val="clear" w:pos="708"/>
          <w:tab w:val="center" w:pos="3499" w:leader="none"/>
        </w:tabs>
        <w:spacing w:lineRule="auto" w:before="0" w:after="91"/>
        <w:ind w:left="0" w:hanging="0"/>
        <w:jc w:val="left"/>
        <w:rPr/>
      </w:pPr>
      <w:r>
        <w:rPr/>
        <w:t xml:space="preserve"> </w:t>
      </w:r>
      <w:r>
        <w:rPr/>
        <w:t xml:space="preserve">санкционирования оплаты </w:t>
      </w:r>
    </w:p>
    <w:p>
      <w:pPr>
        <w:pStyle w:val="Normal"/>
        <w:tabs>
          <w:tab w:val="clear" w:pos="708"/>
          <w:tab w:val="center" w:pos="3499" w:leader="none"/>
        </w:tabs>
        <w:spacing w:lineRule="auto" w:before="0" w:after="91"/>
        <w:ind w:left="0" w:hanging="0"/>
        <w:jc w:val="left"/>
        <w:rPr/>
      </w:pPr>
      <w:r>
        <w:rPr/>
        <w:t xml:space="preserve">денежных средств обязательств </w:t>
      </w:r>
    </w:p>
    <w:p>
      <w:pPr>
        <w:pStyle w:val="Normal"/>
        <w:tabs>
          <w:tab w:val="clear" w:pos="708"/>
          <w:tab w:val="center" w:pos="3499" w:leader="none"/>
        </w:tabs>
        <w:spacing w:lineRule="auto" w:before="0" w:after="91"/>
        <w:ind w:left="0" w:hanging="0"/>
        <w:jc w:val="left"/>
        <w:rPr/>
      </w:pPr>
      <w:r>
        <w:rPr/>
        <w:t xml:space="preserve">получателей бюджета муниципального </w:t>
      </w:r>
    </w:p>
    <w:p>
      <w:pPr>
        <w:pStyle w:val="Normal"/>
        <w:tabs>
          <w:tab w:val="clear" w:pos="708"/>
          <w:tab w:val="center" w:pos="3499" w:leader="none"/>
        </w:tabs>
        <w:spacing w:lineRule="auto" w:before="0" w:after="91"/>
        <w:ind w:left="0" w:hanging="0"/>
        <w:jc w:val="left"/>
        <w:rPr/>
      </w:pPr>
      <w:r>
        <w:rPr/>
        <w:t xml:space="preserve">образования Нижнесирского сельсовета </w:t>
      </w:r>
    </w:p>
    <w:p>
      <w:pPr>
        <w:pStyle w:val="Normal"/>
        <w:tabs>
          <w:tab w:val="clear" w:pos="708"/>
          <w:tab w:val="center" w:pos="3499" w:leader="none"/>
        </w:tabs>
        <w:spacing w:lineRule="auto" w:before="0" w:after="91"/>
        <w:ind w:left="0" w:hanging="0"/>
        <w:jc w:val="left"/>
        <w:rPr/>
      </w:pPr>
      <w:r>
        <w:rPr/>
        <w:t xml:space="preserve">Таштыпского района и администраторов </w:t>
      </w:r>
    </w:p>
    <w:p>
      <w:pPr>
        <w:pStyle w:val="Normal"/>
        <w:tabs>
          <w:tab w:val="clear" w:pos="708"/>
          <w:tab w:val="center" w:pos="3499" w:leader="none"/>
        </w:tabs>
        <w:spacing w:lineRule="auto" w:before="0" w:after="91"/>
        <w:ind w:left="0" w:hanging="0"/>
        <w:jc w:val="left"/>
        <w:rPr/>
      </w:pPr>
      <w:r>
        <w:rPr/>
        <w:t xml:space="preserve">источников финансирования дефицита </w:t>
      </w:r>
    </w:p>
    <w:p>
      <w:pPr>
        <w:pStyle w:val="Normal"/>
        <w:tabs>
          <w:tab w:val="clear" w:pos="708"/>
          <w:tab w:val="center" w:pos="3499" w:leader="none"/>
        </w:tabs>
        <w:spacing w:lineRule="auto" w:before="0" w:after="91"/>
        <w:ind w:left="0" w:hanging="0"/>
        <w:jc w:val="left"/>
        <w:rPr/>
      </w:pPr>
      <w:r>
        <w:rPr/>
        <w:t>бюджета муниципального образования»</w:t>
      </w:r>
    </w:p>
    <w:p>
      <w:pPr>
        <w:pStyle w:val="Normal"/>
        <w:spacing w:before="696" w:after="319"/>
        <w:ind w:left="14" w:right="91" w:firstLine="571"/>
        <w:rPr/>
      </w:pPr>
      <w:r>
        <w:drawing>
          <wp:anchor behindDoc="0" distT="0" distB="0" distL="114300" distR="114300" simplePos="0" locked="0" layoutInCell="1" allowOverlap="1" relativeHeight="2">
            <wp:simplePos x="0" y="0"/>
            <wp:positionH relativeFrom="page">
              <wp:posOffset>7281545</wp:posOffset>
            </wp:positionH>
            <wp:positionV relativeFrom="page">
              <wp:posOffset>6158865</wp:posOffset>
            </wp:positionV>
            <wp:extent cx="33655" cy="18415"/>
            <wp:effectExtent l="0" t="0" r="0" b="0"/>
            <wp:wrapSquare wrapText="bothSides"/>
            <wp:docPr id="1" name="Picture 11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60" descr=""/>
                    <pic:cNvPicPr>
                      <a:picLocks noChangeAspect="1" noChangeArrowheads="1"/>
                    </pic:cNvPicPr>
                  </pic:nvPicPr>
                  <pic:blipFill>
                    <a:blip r:embed="rId2"/>
                    <a:stretch>
                      <a:fillRect/>
                    </a:stretch>
                  </pic:blipFill>
                  <pic:spPr bwMode="auto">
                    <a:xfrm>
                      <a:off x="0" y="0"/>
                      <a:ext cx="33655" cy="18415"/>
                    </a:xfrm>
                    <a:prstGeom prst="rect">
                      <a:avLst/>
                    </a:prstGeom>
                  </pic:spPr>
                </pic:pic>
              </a:graphicData>
            </a:graphic>
          </wp:anchor>
        </w:drawing>
        <w:drawing>
          <wp:anchor behindDoc="0" distT="0" distB="0" distL="114300" distR="114300" simplePos="0" locked="0" layoutInCell="1" allowOverlap="1" relativeHeight="3">
            <wp:simplePos x="0" y="0"/>
            <wp:positionH relativeFrom="page">
              <wp:posOffset>7272655</wp:posOffset>
            </wp:positionH>
            <wp:positionV relativeFrom="page">
              <wp:posOffset>8369300</wp:posOffset>
            </wp:positionV>
            <wp:extent cx="33655" cy="18415"/>
            <wp:effectExtent l="0" t="0" r="0" b="0"/>
            <wp:wrapTopAndBottom/>
            <wp:docPr id="2" name="Picture 11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61" descr=""/>
                    <pic:cNvPicPr>
                      <a:picLocks noChangeAspect="1" noChangeArrowheads="1"/>
                    </pic:cNvPicPr>
                  </pic:nvPicPr>
                  <pic:blipFill>
                    <a:blip r:embed="rId3"/>
                    <a:stretch>
                      <a:fillRect/>
                    </a:stretch>
                  </pic:blipFill>
                  <pic:spPr bwMode="auto">
                    <a:xfrm>
                      <a:off x="0" y="0"/>
                      <a:ext cx="33655" cy="18415"/>
                    </a:xfrm>
                    <a:prstGeom prst="rect">
                      <a:avLst/>
                    </a:prstGeom>
                  </pic:spPr>
                </pic:pic>
              </a:graphicData>
            </a:graphic>
          </wp:anchor>
        </w:drawing>
      </w:r>
      <w:r>
        <w:rPr/>
        <w:t>В</w:t>
      </w:r>
      <w:r>
        <w:rPr/>
        <w:t xml:space="preserve"> соответствии со статьей 219 и 219.2 Бюджетного кодекса Российской Федерации, приказа Казначейства Российской Федерации от 14.05.2020 №21н «О Порядке казначейского обслуживания» (с изменениями), руководствуясь ст.ст. 58 Устава муниципального образования </w:t>
      </w:r>
      <w:r>
        <w:rPr/>
        <w:t>Нижнесирский сельсовет</w:t>
      </w:r>
      <w:r>
        <w:rPr/>
        <w:t xml:space="preserve"> Таштыпск</w:t>
      </w:r>
      <w:r>
        <w:rPr/>
        <w:t xml:space="preserve">ого </w:t>
      </w:r>
      <w:r>
        <w:rPr/>
        <w:t>район</w:t>
      </w:r>
      <w:r>
        <w:rPr/>
        <w:t>а</w:t>
      </w:r>
      <w:r>
        <w:rPr/>
        <w:t xml:space="preserve">, в целях приведения нормативного правового акта Администраций  </w:t>
      </w:r>
      <w:r>
        <w:rPr/>
        <w:t xml:space="preserve">Нижнесирского сельсовета </w:t>
      </w:r>
      <w:r>
        <w:rPr/>
        <w:t>Таштыпского района в соответствие с действующим законодательством, ПОСТАНОВЛЯЕТ:</w:t>
      </w:r>
    </w:p>
    <w:p>
      <w:pPr>
        <w:pStyle w:val="Normal"/>
        <w:numPr>
          <w:ilvl w:val="0"/>
          <w:numId w:val="1"/>
        </w:numPr>
        <w:ind w:left="828" w:right="4" w:hanging="254"/>
        <w:rPr/>
      </w:pPr>
      <w:r>
        <w:rPr/>
        <w:t>Пункт 4 изменить по содержанию:</w:t>
      </w:r>
    </w:p>
    <w:p>
      <w:pPr>
        <w:pStyle w:val="ListParagraph"/>
        <w:ind w:left="828" w:hanging="0"/>
        <w:rPr/>
      </w:pPr>
      <w:r>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w:t>
      </w:r>
      <w:r>
        <w:rPr>
          <w:vertAlign w:val="superscript"/>
        </w:rPr>
        <w:t xml:space="preserve">  </w:t>
      </w:r>
      <w:r>
        <w:rPr/>
        <w:t xml:space="preserve">(за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w:t>
      </w:r>
      <w:hyperlink r:id="rId4">
        <w:r>
          <w:rPr/>
          <w:t>законодательством</w:t>
        </w:r>
      </w:hyperlink>
      <w:r>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ListParagraph"/>
        <w:ind w:left="828" w:hanging="0"/>
        <w:rPr/>
      </w:pPr>
      <w:bookmarkStart w:id="0" w:name="sub_10042"/>
      <w:bookmarkEnd w:id="0"/>
      <w:r>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w:t>
      </w:r>
      <w:r>
        <w:rPr>
          <w:vertAlign w:val="superscript"/>
        </w:rPr>
        <w:t xml:space="preserve">  </w:t>
      </w:r>
      <w:r>
        <w:rPr/>
        <w:t>(далее - код участника бюджетного процесса по Сводному реестру), и номера соответствующего лицевого счета;</w:t>
      </w:r>
    </w:p>
    <w:p>
      <w:pPr>
        <w:pStyle w:val="ListParagraph"/>
        <w:ind w:left="828" w:hanging="0"/>
        <w:rPr/>
      </w:pPr>
      <w:bookmarkStart w:id="1" w:name="sub_10042"/>
      <w:bookmarkStart w:id="2" w:name="sub_10043"/>
      <w:bookmarkEnd w:id="1"/>
      <w:bookmarkEnd w:id="2"/>
      <w:r>
        <w:rPr/>
        <w:t xml:space="preserve">3) кодов </w:t>
      </w:r>
      <w:hyperlink r:id="rId5">
        <w:r>
          <w:rPr/>
          <w:t>классификации</w:t>
        </w:r>
      </w:hyperlink>
      <w:r>
        <w:rPr/>
        <w:t xml:space="preserve"> расходов местного бюджета (</w:t>
      </w:r>
      <w:hyperlink r:id="rId6">
        <w:r>
          <w:rPr/>
          <w:t>классификации</w:t>
        </w:r>
      </w:hyperlink>
      <w:r>
        <w:rPr/>
        <w:t xml:space="preserve">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w:t>
      </w:r>
      <w:r>
        <w:rPr>
          <w:vertAlign w:val="superscript"/>
        </w:rPr>
        <w:t> </w:t>
      </w:r>
      <w:r>
        <w:rPr/>
        <w:t xml:space="preserve">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pPr>
        <w:pStyle w:val="ListParagraph"/>
        <w:ind w:left="828" w:hanging="0"/>
        <w:rPr/>
      </w:pPr>
      <w:bookmarkStart w:id="3" w:name="sub_10043"/>
      <w:bookmarkStart w:id="4" w:name="sub_10044"/>
      <w:bookmarkEnd w:id="3"/>
      <w:bookmarkEnd w:id="4"/>
      <w:r>
        <w:rPr/>
        <w:t xml:space="preserve">4) суммы перечисления и кода валюты в соответствии с </w:t>
      </w:r>
      <w:hyperlink r:id="rId7">
        <w:r>
          <w:rPr/>
          <w:t>Общероссийским классификатором</w:t>
        </w:r>
      </w:hyperlink>
      <w:r>
        <w:rPr/>
        <w:t xml:space="preserve"> валют, в которой он должен быть произведен;</w:t>
      </w:r>
    </w:p>
    <w:p>
      <w:pPr>
        <w:pStyle w:val="ListParagraph"/>
        <w:ind w:left="828" w:hanging="0"/>
        <w:rPr/>
      </w:pPr>
      <w:bookmarkStart w:id="5" w:name="sub_10044"/>
      <w:bookmarkStart w:id="6" w:name="sub_10045"/>
      <w:bookmarkEnd w:id="5"/>
      <w:bookmarkEnd w:id="6"/>
      <w:r>
        <w:rPr/>
        <w:t>5) суммы перечисления в валюте Российской Федерации, в рублевом эквиваленте, исчисленном на дату оформления Распоряжения;</w:t>
      </w:r>
    </w:p>
    <w:p>
      <w:pPr>
        <w:pStyle w:val="ListParagraph"/>
        <w:ind w:left="828" w:hanging="0"/>
        <w:rPr/>
      </w:pPr>
      <w:bookmarkStart w:id="7" w:name="sub_10045"/>
      <w:bookmarkStart w:id="8" w:name="sub_10046"/>
      <w:bookmarkEnd w:id="7"/>
      <w:r>
        <w:rPr/>
        <w:t>6) вида средств местного бюджета</w:t>
      </w:r>
      <w:bookmarkStart w:id="9" w:name="sub_10047"/>
      <w:bookmarkEnd w:id="8"/>
      <w:r>
        <w:rPr/>
        <w:t>;</w:t>
      </w:r>
    </w:p>
    <w:p>
      <w:pPr>
        <w:pStyle w:val="ListParagraph"/>
        <w:ind w:left="828" w:hanging="0"/>
        <w:rPr/>
      </w:pPr>
      <w:r>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pPr>
        <w:pStyle w:val="ListParagraph"/>
        <w:ind w:left="828" w:hanging="0"/>
        <w:rPr/>
      </w:pPr>
      <w:bookmarkStart w:id="10" w:name="sub_10048"/>
      <w:bookmarkEnd w:id="9"/>
      <w:bookmarkEnd w:id="10"/>
      <w:r>
        <w:rPr/>
        <w:t>8) номера учтенного в органе Федерального казначейства бюджетного обязательства и номера денежного обязательства получателя средств федерального бюджета (при наличии);</w:t>
      </w:r>
    </w:p>
    <w:p>
      <w:pPr>
        <w:pStyle w:val="ListParagraph"/>
        <w:ind w:left="828" w:hanging="0"/>
        <w:rPr/>
      </w:pPr>
      <w:bookmarkStart w:id="11" w:name="sub_10048"/>
      <w:bookmarkEnd w:id="11"/>
      <w:r>
        <w:rPr/>
        <w:t xml:space="preserve">9) данных для осуществления налоговых и иных обязательных платежей в бюджеты бюджетной системы Российской Федерации, предусмотренных </w:t>
      </w:r>
      <w:hyperlink r:id="rId8">
        <w:r>
          <w:rPr/>
          <w:t>правилами</w:t>
        </w:r>
      </w:hyperlink>
      <w:r>
        <w:rPr/>
        <w:t xml:space="preserve"> указания информации в реквизитах распоряжений о переводе денежных средств в уплату платежей в бюджетную систему Российской Федерации;</w:t>
      </w:r>
    </w:p>
    <w:p>
      <w:pPr>
        <w:pStyle w:val="Normal"/>
        <w:widowControl/>
        <w:tabs>
          <w:tab w:val="clear" w:pos="708"/>
          <w:tab w:val="left" w:pos="673" w:leader="none"/>
        </w:tabs>
        <w:bidi w:val="0"/>
        <w:spacing w:lineRule="auto" w:line="264" w:before="0" w:after="16"/>
        <w:ind w:left="737" w:right="0" w:hanging="0"/>
        <w:jc w:val="both"/>
        <w:rPr/>
      </w:pPr>
      <w:r>
        <w:rPr/>
        <w:t xml:space="preserve">10) реквизитов (номер, дата) документов (договора (государственного контракта) на поставку товаров, выполнение работ, оказание услуг (далее - договор (государственный контракт), соглашения о предоставлении из бюджета субъекта Российской Федерации местному бюджету межбюджетного трансферта в форме субсидии, субвенции, иного межбюджетного трансферта, договора (соглашения) о предоставлении субсидии местному бюджетному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w:t>
      </w:r>
      <w:hyperlink r:id="rId9">
        <w:r>
          <w:rPr/>
          <w:t>статьей 80</w:t>
        </w:r>
      </w:hyperlink>
      <w:r>
        <w:rPr/>
        <w:t xml:space="preserve"> Бюджетного кодекса Российской Федерации (Собрание законодательства Российской Федерации, 1998, N 31, ст. 3823; 2021, N 49, ст. 8148)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w:t>
      </w:r>
      <w:hyperlink r:id="rId10">
        <w:r>
          <w:rPr/>
          <w:t>учет</w:t>
        </w:r>
      </w:hyperlink>
      <w:r>
        <w:rPr/>
        <w:t xml:space="preserve">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Министерством финансов Российской Федерации</w:t>
      </w:r>
      <w:r>
        <w:rPr>
          <w:vertAlign w:val="superscript"/>
        </w:rPr>
        <w:t> </w:t>
      </w:r>
      <w:hyperlink w:anchor="sub_1116">
        <w:r>
          <w:rPr>
            <w:vertAlign w:val="superscript"/>
          </w:rPr>
          <w:t>6</w:t>
        </w:r>
      </w:hyperlink>
      <w:r>
        <w:rPr/>
        <w:t xml:space="preserve"> (далее - порядок учета обязательств);</w:t>
      </w:r>
    </w:p>
    <w:p>
      <w:pPr>
        <w:pStyle w:val="Normal"/>
        <w:widowControl/>
        <w:bidi w:val="0"/>
        <w:spacing w:lineRule="auto" w:line="264" w:before="0" w:after="16"/>
        <w:ind w:left="680" w:right="0" w:hanging="0"/>
        <w:jc w:val="both"/>
        <w:rPr/>
      </w:pPr>
      <w:r>
        <w:rPr/>
        <w:t xml:space="preserve">11)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w:t>
      </w:r>
      <w:hyperlink r:id="rId11">
        <w:r>
          <w:rPr/>
          <w:t>графой 3</w:t>
        </w:r>
      </w:hyperlink>
      <w:r>
        <w:rPr/>
        <w:t xml:space="preserve">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w:t>
      </w:r>
      <w:hyperlink r:id="rId12">
        <w:r>
          <w:rPr/>
          <w:t>приказом</w:t>
        </w:r>
      </w:hyperlink>
      <w:r>
        <w:rPr/>
        <w:t xml:space="preserve"> Министерства финансов Российской Федерации от 30 октября 2020 г. N 258н (зарегистрирован Министерством юстиции Российской Федерации 9 декабря 2020 г., регистрационный N 61362), с изменениями, внесенными приказами Министерства финансов </w:t>
      </w:r>
      <w:hyperlink r:id="rId13">
        <w:r>
          <w:rPr/>
          <w:t xml:space="preserve">от 30 ноября 2021 г. N 197н </w:t>
        </w:r>
      </w:hyperlink>
      <w:r>
        <w:rPr/>
        <w:t xml:space="preserve">(зарегистрирован Министерством юстиции Российской Федерации 14 января 2022 г., регистрационный N 66876), </w:t>
      </w:r>
      <w:hyperlink r:id="rId14">
        <w:r>
          <w:rPr/>
          <w:t>от 29 апреля 2022 г. N 66н</w:t>
        </w:r>
      </w:hyperlink>
      <w:r>
        <w:rPr/>
        <w:t xml:space="preserve"> (зарегистрирован Министерством юстиции Российской Федерации 20 мая 2022 г., регистрационный N 68539)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pPr>
        <w:pStyle w:val="Normal"/>
        <w:widowControl/>
        <w:bidi w:val="0"/>
        <w:spacing w:lineRule="auto" w:line="264" w:before="0" w:after="16"/>
        <w:ind w:left="680" w:right="0" w:hanging="0"/>
        <w:jc w:val="both"/>
        <w:rPr/>
      </w:pPr>
      <w:r>
        <w:rPr/>
        <w:t>12)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bookmarkStart w:id="12" w:name="sub_100416"/>
      <w:bookmarkEnd w:id="12"/>
    </w:p>
    <w:p>
      <w:pPr>
        <w:pStyle w:val="Normal"/>
        <w:widowControl/>
        <w:bidi w:val="0"/>
        <w:spacing w:lineRule="auto" w:line="264" w:before="0" w:after="16"/>
        <w:ind w:left="680" w:right="0" w:hanging="0"/>
        <w:jc w:val="both"/>
        <w:rPr>
          <w:highlight w:val="white"/>
        </w:rPr>
      </w:pPr>
      <w:r>
        <w:rPr/>
        <w:t xml:space="preserve">13) идентификатора договора (государственного контракта), соглашения, договора о предоставлении инвестиций, в случае санкционирования расходов, возникающих при оплате указанных договоров (государственных контрактов), соглашений, договоров о предоставлении инвестиций при казначейском сопровождении средств </w:t>
      </w:r>
    </w:p>
    <w:p>
      <w:pPr>
        <w:pStyle w:val="Normal"/>
        <w:widowControl/>
        <w:bidi w:val="0"/>
        <w:spacing w:lineRule="auto" w:line="264" w:before="0" w:after="16"/>
        <w:ind w:left="680" w:right="0" w:hanging="0"/>
        <w:jc w:val="both"/>
        <w:rPr/>
      </w:pPr>
      <w:r>
        <w:rPr/>
        <w:t xml:space="preserve">14)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(государственных контрактов), подлежащих включению в определенный </w:t>
      </w:r>
      <w:hyperlink r:id="rId15">
        <w:r>
          <w:rPr/>
          <w:t>законодательством</w:t>
        </w:r>
      </w:hyperlink>
      <w:r>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bookmarkStart w:id="13" w:name="sub_100413"/>
      <w:bookmarkEnd w:id="13"/>
    </w:p>
    <w:p>
      <w:pPr>
        <w:pStyle w:val="Normal"/>
        <w:ind w:left="10" w:right="101" w:hanging="0"/>
        <w:rPr/>
      </w:pPr>
      <w:r>
        <w:rPr/>
      </w:r>
    </w:p>
    <w:p>
      <w:pPr>
        <w:pStyle w:val="Normal"/>
        <w:ind w:left="828" w:right="4" w:hanging="254"/>
        <w:rPr/>
      </w:pPr>
      <w:r>
        <w:rPr/>
        <w:t xml:space="preserve">2 . </w:t>
      </w:r>
      <w:r>
        <w:rPr/>
        <w:t>Пункт 6 изменить по содержанию:</w:t>
      </w:r>
    </w:p>
    <w:p>
      <w:pPr>
        <w:pStyle w:val="Normal"/>
        <w:rPr/>
      </w:pPr>
      <w:r>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pPr>
        <w:pStyle w:val="Normal"/>
        <w:rPr/>
      </w:pPr>
      <w:r>
        <w:rPr/>
        <w:t xml:space="preserve">1) соответствие указанных в Распоряжении кодов </w:t>
      </w:r>
      <w:hyperlink r:id="rId16">
        <w:r>
          <w:rPr/>
          <w:t>классификации</w:t>
        </w:r>
      </w:hyperlink>
      <w:r>
        <w:rPr/>
        <w:t xml:space="preserve">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bookmarkStart w:id="14" w:name="sub_10061"/>
      <w:bookmarkEnd w:id="14"/>
    </w:p>
    <w:p>
      <w:pPr>
        <w:pStyle w:val="Normal"/>
        <w:rPr/>
      </w:pPr>
      <w:r>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pPr>
        <w:pStyle w:val="Normal"/>
        <w:rPr/>
      </w:pPr>
      <w:bookmarkStart w:id="15" w:name="sub_10063"/>
      <w:bookmarkEnd w:id="15"/>
      <w:r>
        <w:rPr/>
        <w:t xml:space="preserve">3) соответствие указанных в Распоряжении кодов видов расходов </w:t>
      </w:r>
      <w:hyperlink r:id="rId17">
        <w:r>
          <w:rPr/>
          <w:t>классификации</w:t>
        </w:r>
      </w:hyperlink>
      <w:r>
        <w:rPr/>
        <w:t xml:space="preserve">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r>
        <w:rPr>
          <w:vertAlign w:val="superscript"/>
        </w:rPr>
        <w:t> </w:t>
      </w:r>
      <w:hyperlink w:anchor="sub_1117">
        <w:r>
          <w:rPr>
            <w:vertAlign w:val="superscript"/>
          </w:rPr>
          <w:t>7</w:t>
        </w:r>
      </w:hyperlink>
      <w:r>
        <w:rPr>
          <w:vertAlign w:val="superscript"/>
        </w:rPr>
        <w:t xml:space="preserve"> </w:t>
      </w:r>
      <w:r>
        <w:rPr/>
        <w:t>(далее - порядок применения бюджетной классификации);</w:t>
      </w:r>
    </w:p>
    <w:p>
      <w:pPr>
        <w:pStyle w:val="Normal"/>
        <w:rPr/>
      </w:pPr>
      <w:bookmarkStart w:id="16" w:name="sub_10063"/>
      <w:bookmarkStart w:id="17" w:name="sub_10064"/>
      <w:bookmarkEnd w:id="16"/>
      <w:bookmarkEnd w:id="17"/>
      <w:r>
        <w:rPr/>
        <w:t>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pPr>
        <w:pStyle w:val="Normal"/>
        <w:rPr/>
      </w:pPr>
      <w:bookmarkStart w:id="18" w:name="sub_10064"/>
      <w:bookmarkStart w:id="19" w:name="sub_10065"/>
      <w:bookmarkEnd w:id="18"/>
      <w:bookmarkEnd w:id="19"/>
      <w:r>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pPr>
        <w:pStyle w:val="Normal"/>
        <w:rPr/>
      </w:pPr>
      <w:bookmarkStart w:id="20" w:name="sub_10065"/>
      <w:bookmarkStart w:id="21" w:name="sub_10066"/>
      <w:bookmarkEnd w:id="20"/>
      <w:bookmarkEnd w:id="21"/>
      <w:r>
        <w:rPr/>
        <w:t xml:space="preserve">6) соответствие реквизитов Распоряжения требованиям </w:t>
      </w:r>
      <w:hyperlink r:id="rId18">
        <w:r>
          <w:rPr/>
          <w:t>бюджетного законодательства</w:t>
        </w:r>
      </w:hyperlink>
      <w:r>
        <w:rPr/>
        <w:t xml:space="preserve"> Российской Федерации о перечислении средств местного бюджета на соответствующие казначейские счета;</w:t>
      </w:r>
    </w:p>
    <w:p>
      <w:pPr>
        <w:pStyle w:val="Normal"/>
        <w:rPr/>
      </w:pPr>
      <w:bookmarkStart w:id="22" w:name="sub_10066"/>
      <w:bookmarkStart w:id="23" w:name="sub_10067"/>
      <w:bookmarkEnd w:id="22"/>
      <w:bookmarkEnd w:id="23"/>
      <w:r>
        <w:rPr/>
        <w:t>7) идентичность кода участника бюджетного процесса по Сводному реестру по денежному обязательству и платежу;</w:t>
      </w:r>
    </w:p>
    <w:p>
      <w:pPr>
        <w:pStyle w:val="Normal"/>
        <w:rPr/>
      </w:pPr>
      <w:bookmarkStart w:id="24" w:name="sub_10067"/>
      <w:bookmarkStart w:id="25" w:name="sub_10068"/>
      <w:bookmarkEnd w:id="24"/>
      <w:bookmarkEnd w:id="25"/>
      <w:r>
        <w:rPr/>
        <w:t xml:space="preserve">8) идентичность кода (кодов) </w:t>
      </w:r>
      <w:hyperlink r:id="rId19">
        <w:r>
          <w:rPr/>
          <w:t>классификации</w:t>
        </w:r>
      </w:hyperlink>
      <w:r>
        <w:rPr/>
        <w:t xml:space="preserve"> расходов местного бюджета по денежному обязательству и платежу;</w:t>
      </w:r>
    </w:p>
    <w:p>
      <w:pPr>
        <w:pStyle w:val="Normal"/>
        <w:rPr/>
      </w:pPr>
      <w:bookmarkStart w:id="26" w:name="sub_10068"/>
      <w:bookmarkStart w:id="27" w:name="sub_10069"/>
      <w:bookmarkEnd w:id="26"/>
      <w:bookmarkEnd w:id="27"/>
      <w:r>
        <w:rPr/>
        <w:t>9) идентичность кода валюты, в которой принято денежное обязательство, и кода валюты, в которой должен быть осуществлен платеж по Распоряжению;</w:t>
      </w:r>
    </w:p>
    <w:p>
      <w:pPr>
        <w:pStyle w:val="Normal"/>
        <w:rPr/>
      </w:pPr>
      <w:bookmarkStart w:id="28" w:name="sub_10069"/>
      <w:bookmarkStart w:id="29" w:name="sub_100610"/>
      <w:bookmarkEnd w:id="28"/>
      <w:bookmarkEnd w:id="29"/>
      <w:r>
        <w:rPr/>
        <w:t>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pPr>
        <w:pStyle w:val="Normal"/>
        <w:rPr/>
      </w:pPr>
      <w:bookmarkStart w:id="30" w:name="sub_100610"/>
      <w:bookmarkEnd w:id="30"/>
      <w:r>
        <w:rPr/>
        <w:t xml:space="preserve">11) соответствие кода </w:t>
      </w:r>
      <w:hyperlink r:id="rId20">
        <w:r>
          <w:rPr/>
          <w:t>классификации</w:t>
        </w:r>
      </w:hyperlink>
      <w:r>
        <w:rPr/>
        <w:t xml:space="preserve">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bookmarkStart w:id="31" w:name="sub_100611"/>
      <w:bookmarkEnd w:id="31"/>
    </w:p>
    <w:p>
      <w:pPr>
        <w:pStyle w:val="Normal"/>
        <w:rPr/>
      </w:pPr>
      <w:r>
        <w:rPr/>
        <w:t>12) непревышение размера авансового платежа, указанного в Распоряжении, над суммой авансового платежа по договору (государственному контракту) (суммой авансового платежа по этапу исполнения договора (государственного контракта) в случае, если договором (государственным контрактом) предусмотрено его поэтапное исполнение) с учетом ранее осуществленных авансовых платежей;</w:t>
      </w:r>
    </w:p>
    <w:p>
      <w:pPr>
        <w:pStyle w:val="Normal"/>
        <w:rPr/>
      </w:pPr>
      <w:bookmarkStart w:id="32" w:name="sub_100614"/>
      <w:bookmarkEnd w:id="32"/>
      <w:r>
        <w:rPr/>
        <w:t>13)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p>
    <w:p>
      <w:pPr>
        <w:pStyle w:val="Normal"/>
        <w:rPr/>
      </w:pPr>
      <w:bookmarkStart w:id="33" w:name="sub_100614"/>
      <w:bookmarkStart w:id="34" w:name="sub_100615"/>
      <w:bookmarkEnd w:id="33"/>
      <w:bookmarkEnd w:id="34"/>
      <w:r>
        <w:rPr/>
        <w:t>14)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pPr>
        <w:pStyle w:val="Normal"/>
        <w:rPr/>
      </w:pPr>
      <w:bookmarkStart w:id="35" w:name="sub_100615"/>
      <w:bookmarkEnd w:id="35"/>
      <w:r>
        <w:rPr/>
        <w:t xml:space="preserve">15) наличие размещенного в реестре государственных заданий на оказание государственных услуг (выполнение работ) на </w:t>
      </w:r>
      <w:hyperlink r:id="rId21">
        <w:r>
          <w:rPr/>
          <w:t>едином портале</w:t>
        </w:r>
      </w:hyperlink>
      <w:r>
        <w:rPr/>
        <w:t xml:space="preserve"> бюджетной системы Российской Федерации государственного задания на оказание государственных услуг (выполнение работ), в порядке, установленном Министерством финансов Российской Федерации, в случае представления Распоряжения при перечислении субсидии на финансовое обеспечение выполнения государственного задания;</w:t>
      </w:r>
      <w:bookmarkStart w:id="36" w:name="sub_100616"/>
      <w:bookmarkEnd w:id="36"/>
    </w:p>
    <w:p>
      <w:pPr>
        <w:pStyle w:val="Normal"/>
        <w:rPr/>
      </w:pPr>
      <w:r>
        <w:rPr/>
        <w:t>16) соответствие идентификатора договора (государственного контракта), соглашения, договора о предоставлении инвестиций, указанного в Распоряжении, идентификатору, указанному в договоре (государственном контракте), соглашении, договоре о предоставлении инвестиций (при наличии);</w:t>
      </w:r>
    </w:p>
    <w:p>
      <w:pPr>
        <w:pStyle w:val="Normal"/>
        <w:rPr/>
      </w:pPr>
      <w:r>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pPr>
        <w:pStyle w:val="Normal"/>
        <w:rPr/>
      </w:pPr>
      <w:r>
        <w:rPr/>
        <w:t>18) непревышение суммы Распоряжения над суммой, указанной в документе, подтверждающем возникновение денежного обязательства.</w:t>
      </w:r>
    </w:p>
    <w:p>
      <w:pPr>
        <w:pStyle w:val="Normal"/>
        <w:ind w:left="43" w:firstLine="665"/>
        <w:rPr/>
      </w:pPr>
      <w:bookmarkStart w:id="37" w:name="sub_1006162"/>
      <w:bookmarkEnd w:id="37"/>
      <w:r>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pPr>
        <w:pStyle w:val="Normal"/>
        <w:ind w:left="43" w:firstLine="665"/>
        <w:rPr/>
      </w:pPr>
      <w:r>
        <w:rPr/>
      </w:r>
    </w:p>
    <w:p>
      <w:pPr>
        <w:pStyle w:val="Normal"/>
        <w:ind w:left="828" w:right="4" w:hanging="0"/>
        <w:rPr/>
      </w:pPr>
      <w:bookmarkStart w:id="38" w:name="sub_1006162"/>
      <w:bookmarkStart w:id="39" w:name="sub_1011"/>
      <w:bookmarkEnd w:id="38"/>
      <w:bookmarkEnd w:id="39"/>
      <w:r>
        <w:rPr/>
        <w:t>3. Пункт 11 изменить по содержанию:</w:t>
      </w:r>
    </w:p>
    <w:p>
      <w:pPr>
        <w:pStyle w:val="Normal"/>
        <w:ind w:left="828" w:right="4" w:hanging="0"/>
        <w:rPr/>
      </w:pPr>
      <w:r>
        <w:rPr/>
      </w:r>
    </w:p>
    <w:p>
      <w:pPr>
        <w:pStyle w:val="Normal"/>
        <w:rPr/>
      </w:pPr>
      <w:r>
        <w:rPr/>
        <w:t>11.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pPr>
        <w:pStyle w:val="Normal"/>
        <w:rPr/>
      </w:pPr>
      <w:bookmarkStart w:id="40" w:name="sub_1011"/>
      <w:bookmarkStart w:id="41" w:name="sub_10111"/>
      <w:bookmarkEnd w:id="40"/>
      <w:bookmarkEnd w:id="41"/>
      <w:r>
        <w:rPr/>
        <w:t xml:space="preserve">1) соответствие указанных в Распоряжении кодов </w:t>
      </w:r>
      <w:hyperlink r:id="rId22">
        <w:r>
          <w:rPr/>
          <w:t>классификации</w:t>
        </w:r>
      </w:hyperlink>
      <w:r>
        <w:rPr/>
        <w:t xml:space="preserve">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pPr>
        <w:pStyle w:val="Normal"/>
        <w:rPr/>
      </w:pPr>
      <w:bookmarkStart w:id="42" w:name="sub_10111"/>
      <w:bookmarkStart w:id="43" w:name="sub_10112"/>
      <w:bookmarkEnd w:id="42"/>
      <w:bookmarkEnd w:id="43"/>
      <w:r>
        <w:rPr/>
        <w:t xml:space="preserve">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w:t>
      </w:r>
      <w:hyperlink r:id="rId23">
        <w:r>
          <w:rPr/>
          <w:t>бюджетной классификации</w:t>
        </w:r>
      </w:hyperlink>
      <w:r>
        <w:rPr/>
        <w:t>;</w:t>
      </w:r>
    </w:p>
    <w:p>
      <w:pPr>
        <w:pStyle w:val="Normal"/>
        <w:rPr/>
      </w:pPr>
      <w:bookmarkStart w:id="44" w:name="sub_10112"/>
      <w:bookmarkEnd w:id="44"/>
      <w:r>
        <w:rPr/>
        <w:t>3) 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bookmarkStart w:id="45" w:name="sub_10113"/>
      <w:bookmarkEnd w:id="45"/>
    </w:p>
    <w:p>
      <w:pPr>
        <w:pStyle w:val="Normal"/>
        <w:rPr/>
      </w:pPr>
      <w:r>
        <w:rPr/>
        <w:t>11.1. При санкционировании оплаты денежных обязательств по договорам (государственным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pPr>
        <w:pStyle w:val="Normal"/>
        <w:rPr/>
      </w:pPr>
      <w:hyperlink w:anchor="sub_10042">
        <w:r>
          <w:rPr/>
          <w:t>подпунктами 2 - 8</w:t>
        </w:r>
      </w:hyperlink>
      <w:r>
        <w:rPr/>
        <w:t xml:space="preserve">, </w:t>
      </w:r>
      <w:hyperlink w:anchor="sub_100413">
        <w:r>
          <w:rPr/>
          <w:t>13 - 18 пункта 4</w:t>
        </w:r>
      </w:hyperlink>
      <w:r>
        <w:rPr/>
        <w:t xml:space="preserve">, </w:t>
      </w:r>
      <w:hyperlink w:anchor="sub_10061">
        <w:r>
          <w:rPr/>
          <w:t>подпунктами 1 - 3</w:t>
        </w:r>
      </w:hyperlink>
      <w:r>
        <w:rPr/>
        <w:t xml:space="preserve">, </w:t>
      </w:r>
      <w:hyperlink w:anchor="sub_10065">
        <w:r>
          <w:rPr/>
          <w:t>5 - 13</w:t>
        </w:r>
      </w:hyperlink>
      <w:r>
        <w:rPr/>
        <w:t xml:space="preserve">, </w:t>
      </w:r>
      <w:hyperlink w:anchor="sub_100617">
        <w:r>
          <w:rPr/>
          <w:t>17 - 19 пункта 6</w:t>
        </w:r>
      </w:hyperlink>
      <w:r>
        <w:rPr/>
        <w:t xml:space="preserve"> Порядка № 257н - с использованием единой информационной системы в сфере закупок;</w:t>
      </w:r>
      <w:bookmarkStart w:id="46" w:name="sub_111012"/>
      <w:bookmarkEnd w:id="46"/>
    </w:p>
    <w:p>
      <w:pPr>
        <w:pStyle w:val="Normal"/>
        <w:rPr/>
      </w:pPr>
      <w:hyperlink w:anchor="sub_10064">
        <w:r>
          <w:rPr/>
          <w:t>подпунктом 4 пункта 6</w:t>
        </w:r>
      </w:hyperlink>
      <w:r>
        <w:rPr/>
        <w:t xml:space="preserve"> Порядка №257н - с использованием государственной интегрированной информационной системы управления общественными финансами "Электронный бюджет" после поступления в указанную систему Распоряжения по результатам положительных проверок, предусмотренных </w:t>
      </w:r>
      <w:hyperlink w:anchor="sub_111012">
        <w:r>
          <w:rPr/>
          <w:t>абзацем вторым</w:t>
        </w:r>
      </w:hyperlink>
      <w:r>
        <w:rPr/>
        <w:t xml:space="preserve"> настоящего пункта.</w:t>
      </w:r>
    </w:p>
    <w:p>
      <w:pPr>
        <w:pStyle w:val="Normal"/>
        <w:rPr/>
      </w:pPr>
      <w:r>
        <w:rPr/>
        <w:t xml:space="preserve">В случае возникновения денежного обязательства на основании документов-оснований, предусмотренных </w:t>
      </w:r>
      <w:hyperlink r:id="rId24">
        <w:r>
          <w:rPr/>
          <w:t>пунктом 4 графы 2</w:t>
        </w:r>
      </w:hyperlink>
      <w:r>
        <w:rPr/>
        <w:t xml:space="preserve"> Перечня, проверка, предусмотренная </w:t>
      </w:r>
      <w:hyperlink w:anchor="sub_10063">
        <w:r>
          <w:rPr/>
          <w:t>подпунктом 3 пункта 6</w:t>
        </w:r>
      </w:hyperlink>
      <w:r>
        <w:rPr/>
        <w:t xml:space="preserve"> Порядка № 258н</w:t>
      </w:r>
      <w:bookmarkStart w:id="47" w:name="_GoBack"/>
      <w:bookmarkEnd w:id="47"/>
      <w:r>
        <w:rPr/>
        <w:t>, осуществляется исходя из кода вида расходов классификации расходов федерального бюджета, указанного в денежном обязательстве.</w:t>
      </w:r>
    </w:p>
    <w:p>
      <w:pPr>
        <w:pStyle w:val="Normal"/>
        <w:spacing w:before="0" w:after="110"/>
        <w:ind w:left="828" w:right="4" w:hanging="254"/>
        <w:rPr/>
      </w:pPr>
      <w:r>
        <w:rPr/>
        <w:t xml:space="preserve">4. </w:t>
      </w:r>
      <w:r>
        <w:rPr/>
        <w:t>Пункт 7 дополнить следующими словами:</w:t>
      </w:r>
    </w:p>
    <w:p>
      <w:pPr>
        <w:pStyle w:val="Normal"/>
        <w:ind w:left="0" w:right="120" w:firstLine="542"/>
        <w:rPr/>
      </w:pPr>
      <w:r>
        <w:rPr/>
        <w:t>«соответствие идентификатора договора (муниципального контракта), соглашения, указанного в Распоряжении, идентификатору, указанному в договоре (муниципальном контракте), соглашении (при наличии);</w:t>
      </w:r>
    </w:p>
    <w:p>
      <w:pPr>
        <w:pStyle w:val="Normal"/>
        <w:spacing w:before="0" w:after="99"/>
        <w:ind w:left="105" w:right="4" w:firstLine="542"/>
        <w:rPr/>
      </w:pPr>
      <w:r>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pPr>
        <w:pStyle w:val="Normal"/>
        <w:spacing w:before="0" w:after="200"/>
        <w:ind w:left="105" w:right="4" w:firstLine="533"/>
        <w:rPr/>
      </w:pPr>
      <w:r>
        <w:rPr/>
        <w:t>непревышение суммы Распоряжения над суммой, указанной в документе, подтверждающем возникновение денежного обязательства».</w:t>
      </w:r>
    </w:p>
    <w:p>
      <w:pPr>
        <w:pStyle w:val="Normal"/>
        <w:ind w:left="629" w:right="4" w:hanging="0"/>
        <w:rPr/>
      </w:pPr>
      <w:r>
        <w:rPr/>
        <w:t>5</w:t>
      </w:r>
      <w:r>
        <w:rPr/>
        <w:t>. Дополнить порядок пунктом 12 следующего содержания:</w:t>
      </w:r>
    </w:p>
    <w:p>
      <w:pPr>
        <w:pStyle w:val="Normal"/>
        <w:spacing w:before="0" w:after="85"/>
        <w:ind w:left="105" w:right="4" w:firstLine="562"/>
        <w:rPr/>
      </w:pPr>
      <w:r>
        <w:rPr/>
        <w:t xml:space="preserve">«12. В случае если Распоряжение представляется для оплаты денежного обязательства, сформированного Территориальным органов Федерального казначейства с порядком учета обязательств, получатель средств бюджета муниципального образования </w:t>
      </w:r>
      <w:r>
        <w:rPr/>
        <w:t xml:space="preserve">Нижнесирский сельсовет </w:t>
      </w:r>
      <w:r>
        <w:rPr/>
        <w:t>Таштыпск</w:t>
      </w:r>
      <w:r>
        <w:rPr/>
        <w:t>ого</w:t>
      </w:r>
      <w:r>
        <w:rPr/>
        <w:t xml:space="preserve"> район</w:t>
      </w:r>
      <w:r>
        <w:rPr/>
        <w:t>а</w:t>
      </w:r>
      <w:r>
        <w:rPr/>
        <w:t xml:space="preserve"> представляет в Территориальный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осуществления кассовых расходов в соответствии с пунктом 5 настоящего Порядка).</w:t>
      </w:r>
    </w:p>
    <w:p>
      <w:pPr>
        <w:pStyle w:val="Normal"/>
        <w:spacing w:before="0" w:after="110"/>
        <w:ind w:left="105" w:right="4" w:firstLine="562"/>
        <w:rPr/>
      </w:pPr>
      <w:r>
        <w:rPr/>
        <w:t>Документы предоставляются в форме электронной копии документа на бумажном носителе, созданном посредствам сканирования, или копии электронного документа, подтвержденного электронной подписью лица, имеющего права действовать от имени получателя средств бюджета.</w:t>
      </w:r>
    </w:p>
    <w:p>
      <w:pPr>
        <w:pStyle w:val="Normal"/>
        <w:spacing w:before="0" w:after="207"/>
        <w:ind w:left="105" w:right="4" w:firstLine="706"/>
        <w:rPr/>
      </w:pPr>
      <w:r>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4 настоящего Порядка, осуществляется проверка равенства сумм Распоряжения сумме соответствующего денежного обязательства».</w:t>
      </w:r>
    </w:p>
    <w:p>
      <w:pPr>
        <w:pStyle w:val="Normal"/>
        <w:spacing w:before="0" w:after="190"/>
        <w:ind w:left="105" w:right="4" w:firstLine="552"/>
        <w:rPr/>
      </w:pPr>
      <w:r>
        <w:rPr/>
        <w:t xml:space="preserve">6. </w:t>
      </w:r>
      <w:r>
        <w:rPr/>
        <w:t xml:space="preserve">Довести настоящее постановление до сведения главных распорядителей и получателей средств бюджета муниципального образования </w:t>
      </w:r>
      <w:r>
        <w:rPr/>
        <w:t>Нижнесирский сельсовет</w:t>
      </w:r>
      <w:r>
        <w:rPr/>
        <w:t xml:space="preserve"> Таштыпск</w:t>
      </w:r>
      <w:r>
        <w:rPr/>
        <w:t>ого</w:t>
      </w:r>
      <w:r>
        <w:rPr/>
        <w:t xml:space="preserve"> район</w:t>
      </w:r>
      <w:r>
        <w:rPr/>
        <w:t>а</w:t>
      </w:r>
      <w:r>
        <w:rPr/>
        <w:t>.</w:t>
      </w:r>
    </w:p>
    <w:p>
      <w:pPr>
        <w:pStyle w:val="Normal"/>
        <w:spacing w:before="0" w:after="179"/>
        <w:ind w:left="105" w:right="4" w:firstLine="552"/>
        <w:rPr/>
      </w:pPr>
      <w:r>
        <w:rPr/>
        <w:t xml:space="preserve">7. </w:t>
      </w:r>
      <w:r>
        <w:rPr/>
        <w:t>Настоящее постановление распространяет своё действие на правоотношения, возникшие с 01.012024 года.</w:t>
      </w:r>
    </w:p>
    <w:p>
      <w:pPr>
        <w:pStyle w:val="Normal"/>
        <w:numPr>
          <w:ilvl w:val="0"/>
          <w:numId w:val="0"/>
        </w:numPr>
        <w:spacing w:before="0" w:after="211"/>
        <w:ind w:left="210" w:right="4" w:hanging="0"/>
        <w:rPr/>
      </w:pPr>
      <w:r>
        <w:rPr/>
        <w:t xml:space="preserve">     </w:t>
      </w:r>
      <w:r>
        <w:rPr/>
        <w:t xml:space="preserve">8. </w:t>
      </w:r>
      <w:r>
        <w:rPr/>
        <w:t xml:space="preserve">Общему отделу администрации </w:t>
      </w:r>
      <w:r>
        <w:rPr/>
        <w:t>Нижнесирского сельсовета</w:t>
      </w:r>
      <w:r>
        <w:rPr/>
        <w:t xml:space="preserve"> Таштыпского района разместить настоящее Постановление на официальном сайте муниципального образования </w:t>
      </w:r>
      <w:r>
        <w:rPr/>
        <w:t>Нижнесирский сельсовет</w:t>
      </w:r>
      <w:r>
        <w:rPr/>
        <w:t xml:space="preserve"> Таштыпск</w:t>
      </w:r>
      <w:r>
        <w:rPr/>
        <w:t>ого</w:t>
      </w:r>
      <w:r>
        <w:rPr/>
        <w:t xml:space="preserve"> район</w:t>
      </w:r>
      <w:r>
        <w:rPr/>
        <w:t>а</w:t>
      </w:r>
      <w:r>
        <w:rPr/>
        <w:t xml:space="preserve"> в информационно-телекоммуникационной сети «Интернет».</w:t>
      </w:r>
    </w:p>
    <w:p>
      <w:pPr>
        <w:pStyle w:val="Normal"/>
        <w:numPr>
          <w:ilvl w:val="0"/>
          <w:numId w:val="0"/>
        </w:numPr>
        <w:ind w:left="210" w:right="4" w:hanging="0"/>
        <w:rPr/>
      </w:pPr>
      <w:r>
        <w:rPr/>
        <w:t xml:space="preserve">      </w:t>
      </w:r>
      <w:r>
        <w:rPr/>
        <w:t xml:space="preserve">9. </w:t>
      </w:r>
      <w:r>
        <w:rPr/>
        <w:t xml:space="preserve">Контроль над исполнением настоящего Постановления возложить на </w:t>
      </w:r>
      <w:r>
        <w:rPr/>
        <w:t>Главного бухгалтера Нижнесирского сельсовета</w:t>
      </w:r>
      <w:r>
        <w:rPr/>
        <w:t xml:space="preserve"> </w:t>
      </w:r>
      <w:r>
        <w:rPr/>
        <w:t>Кузина С.Л.</w:t>
      </w:r>
    </w:p>
    <w:p>
      <w:pPr>
        <w:sectPr>
          <w:type w:val="nextPage"/>
          <w:pgSz w:w="11906" w:h="16838"/>
          <w:pgMar w:left="1723" w:right="706" w:header="0" w:top="1181" w:footer="0" w:bottom="1056" w:gutter="0"/>
          <w:pgNumType w:fmt="decimal"/>
          <w:formProt w:val="false"/>
          <w:textDirection w:val="lrTb"/>
          <w:docGrid w:type="default" w:linePitch="100" w:charSpace="0"/>
        </w:sectPr>
      </w:pPr>
    </w:p>
    <w:p>
      <w:pPr>
        <w:pStyle w:val="Normal"/>
        <w:ind w:left="0" w:right="4" w:hanging="0"/>
        <w:rPr/>
      </w:pPr>
      <w:r>
        <w:rPr/>
      </w:r>
    </w:p>
    <w:p>
      <w:pPr>
        <w:pStyle w:val="Normal"/>
        <w:ind w:left="0" w:right="4" w:hanging="0"/>
        <w:rPr/>
      </w:pPr>
      <w:r>
        <w:rPr/>
      </w:r>
    </w:p>
    <w:p>
      <w:pPr>
        <w:pStyle w:val="Normal"/>
        <w:spacing w:before="0" w:after="16"/>
        <w:ind w:left="0" w:right="4" w:hanging="0"/>
        <w:rPr/>
      </w:pPr>
      <w:r>
        <w:rPr/>
        <w:t xml:space="preserve">Глава </w:t>
      </w:r>
      <w:r>
        <w:rPr/>
        <w:t>Нижнесирского</w:t>
      </w:r>
      <w:r>
        <w:rPr/>
        <w:t xml:space="preserve"> сельсовета</w:t>
        <w:tab/>
        <w:tab/>
        <w:tab/>
        <w:tab/>
        <w:tab/>
      </w:r>
      <w:r>
        <w:rPr/>
        <w:t>О</w:t>
      </w:r>
      <w:r>
        <w:rPr/>
        <w:t xml:space="preserve">.В. </w:t>
      </w:r>
      <w:r>
        <w:rPr/>
        <w:t>Петрунова</w:t>
      </w:r>
    </w:p>
    <w:sectPr>
      <w:type w:val="continuous"/>
      <w:pgSz w:w="11906" w:h="16838"/>
      <w:pgMar w:left="1723" w:right="706" w:header="0" w:top="1181" w:footer="0" w:bottom="1056"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828" w:hanging="0"/>
      </w:pPr>
      <w:rPr>
        <w:dstrike w:val="false"/>
        <w:strike w:val="false"/>
        <w:vertAlign w:val="baseline"/>
        <w:position w:val="0"/>
        <w:sz w:val="26"/>
        <w:sz w:val="26"/>
        <w:i w:val="false"/>
        <w:u w:val="none" w:color="000000"/>
        <w:b w:val="false"/>
        <w:szCs w:val="26"/>
        <w:rFonts w:eastAsia="Times New Roman" w:cs="Times New Roman"/>
        <w:color w:val="000000"/>
      </w:rPr>
    </w:lvl>
    <w:lvl w:ilvl="1">
      <w:start w:val="1"/>
      <w:numFmt w:val="lowerLetter"/>
      <w:lvlText w:val="%2"/>
      <w:lvlJc w:val="left"/>
      <w:pPr>
        <w:ind w:left="1654" w:hanging="0"/>
      </w:pPr>
      <w:rPr>
        <w:dstrike w:val="false"/>
        <w:strike w:val="false"/>
        <w:vertAlign w:val="baseline"/>
        <w:position w:val="0"/>
        <w:sz w:val="26"/>
        <w:sz w:val="26"/>
        <w:i w:val="false"/>
        <w:u w:val="none" w:color="000000"/>
        <w:b w:val="false"/>
        <w:szCs w:val="26"/>
        <w:rFonts w:eastAsia="Times New Roman" w:cs="Times New Roman"/>
        <w:color w:val="000000"/>
      </w:rPr>
    </w:lvl>
    <w:lvl w:ilvl="2">
      <w:start w:val="1"/>
      <w:numFmt w:val="lowerRoman"/>
      <w:lvlText w:val="%3"/>
      <w:lvlJc w:val="left"/>
      <w:pPr>
        <w:ind w:left="2374" w:hanging="0"/>
      </w:pPr>
      <w:rPr>
        <w:dstrike w:val="false"/>
        <w:strike w:val="false"/>
        <w:vertAlign w:val="baseline"/>
        <w:position w:val="0"/>
        <w:sz w:val="26"/>
        <w:sz w:val="26"/>
        <w:i w:val="false"/>
        <w:u w:val="none" w:color="000000"/>
        <w:b w:val="false"/>
        <w:szCs w:val="26"/>
        <w:rFonts w:eastAsia="Times New Roman" w:cs="Times New Roman"/>
        <w:color w:val="000000"/>
      </w:rPr>
    </w:lvl>
    <w:lvl w:ilvl="3">
      <w:start w:val="1"/>
      <w:numFmt w:val="decimal"/>
      <w:lvlText w:val="%4"/>
      <w:lvlJc w:val="left"/>
      <w:pPr>
        <w:ind w:left="3094" w:hanging="0"/>
      </w:pPr>
      <w:rPr>
        <w:dstrike w:val="false"/>
        <w:strike w:val="false"/>
        <w:vertAlign w:val="baseline"/>
        <w:position w:val="0"/>
        <w:sz w:val="26"/>
        <w:sz w:val="26"/>
        <w:i w:val="false"/>
        <w:u w:val="none" w:color="000000"/>
        <w:b w:val="false"/>
        <w:szCs w:val="26"/>
        <w:rFonts w:eastAsia="Times New Roman" w:cs="Times New Roman"/>
        <w:color w:val="000000"/>
      </w:rPr>
    </w:lvl>
    <w:lvl w:ilvl="4">
      <w:start w:val="1"/>
      <w:numFmt w:val="lowerLetter"/>
      <w:lvlText w:val="%5"/>
      <w:lvlJc w:val="left"/>
      <w:pPr>
        <w:ind w:left="3814" w:hanging="0"/>
      </w:pPr>
      <w:rPr>
        <w:dstrike w:val="false"/>
        <w:strike w:val="false"/>
        <w:vertAlign w:val="baseline"/>
        <w:position w:val="0"/>
        <w:sz w:val="26"/>
        <w:sz w:val="26"/>
        <w:i w:val="false"/>
        <w:u w:val="none" w:color="000000"/>
        <w:b w:val="false"/>
        <w:szCs w:val="26"/>
        <w:rFonts w:eastAsia="Times New Roman" w:cs="Times New Roman"/>
        <w:color w:val="000000"/>
      </w:rPr>
    </w:lvl>
    <w:lvl w:ilvl="5">
      <w:start w:val="1"/>
      <w:numFmt w:val="lowerRoman"/>
      <w:lvlText w:val="%6"/>
      <w:lvlJc w:val="left"/>
      <w:pPr>
        <w:ind w:left="4534" w:hanging="0"/>
      </w:pPr>
      <w:rPr>
        <w:dstrike w:val="false"/>
        <w:strike w:val="false"/>
        <w:vertAlign w:val="baseline"/>
        <w:position w:val="0"/>
        <w:sz w:val="26"/>
        <w:sz w:val="26"/>
        <w:i w:val="false"/>
        <w:u w:val="none" w:color="000000"/>
        <w:b w:val="false"/>
        <w:szCs w:val="26"/>
        <w:rFonts w:eastAsia="Times New Roman" w:cs="Times New Roman"/>
        <w:color w:val="000000"/>
      </w:rPr>
    </w:lvl>
    <w:lvl w:ilvl="6">
      <w:start w:val="1"/>
      <w:numFmt w:val="decimal"/>
      <w:lvlText w:val="%7"/>
      <w:lvlJc w:val="left"/>
      <w:pPr>
        <w:ind w:left="5254" w:hanging="0"/>
      </w:pPr>
      <w:rPr>
        <w:dstrike w:val="false"/>
        <w:strike w:val="false"/>
        <w:vertAlign w:val="baseline"/>
        <w:position w:val="0"/>
        <w:sz w:val="26"/>
        <w:sz w:val="26"/>
        <w:i w:val="false"/>
        <w:u w:val="none" w:color="000000"/>
        <w:b w:val="false"/>
        <w:szCs w:val="26"/>
        <w:rFonts w:eastAsia="Times New Roman" w:cs="Times New Roman"/>
        <w:color w:val="000000"/>
      </w:rPr>
    </w:lvl>
    <w:lvl w:ilvl="7">
      <w:start w:val="1"/>
      <w:numFmt w:val="lowerLetter"/>
      <w:lvlText w:val="%8"/>
      <w:lvlJc w:val="left"/>
      <w:pPr>
        <w:ind w:left="5974" w:hanging="0"/>
      </w:pPr>
      <w:rPr>
        <w:dstrike w:val="false"/>
        <w:strike w:val="false"/>
        <w:vertAlign w:val="baseline"/>
        <w:position w:val="0"/>
        <w:sz w:val="26"/>
        <w:sz w:val="26"/>
        <w:i w:val="false"/>
        <w:u w:val="none" w:color="000000"/>
        <w:b w:val="false"/>
        <w:szCs w:val="26"/>
        <w:rFonts w:eastAsia="Times New Roman" w:cs="Times New Roman"/>
        <w:color w:val="000000"/>
      </w:rPr>
    </w:lvl>
    <w:lvl w:ilvl="8">
      <w:start w:val="1"/>
      <w:numFmt w:val="lowerRoman"/>
      <w:lvlText w:val="%9"/>
      <w:lvlJc w:val="left"/>
      <w:pPr>
        <w:ind w:left="6694" w:hanging="0"/>
      </w:pPr>
      <w:rPr>
        <w:dstrike w:val="false"/>
        <w:strike w:val="false"/>
        <w:vertAlign w:val="baseline"/>
        <w:position w:val="0"/>
        <w:sz w:val="26"/>
        <w:sz w:val="26"/>
        <w:i w:val="false"/>
        <w:u w:val="none" w:color="000000"/>
        <w:b w:val="false"/>
        <w:szCs w:val="26"/>
        <w:rFonts w:eastAsia="Times New Roman" w:cs="Times New Roman"/>
        <w:color w:val="000000"/>
      </w:rPr>
    </w:lvl>
  </w:abstractNum>
  <w:abstractNum w:abstractNumId="2">
    <w:lvl w:ilvl="0">
      <w:start w:val="4"/>
      <w:numFmt w:val="decimal"/>
      <w:lvlText w:val="%1."/>
      <w:lvlJc w:val="left"/>
      <w:pPr>
        <w:ind w:left="105" w:hanging="0"/>
      </w:pPr>
      <w:rPr>
        <w:dstrike w:val="false"/>
        <w:strike w:val="false"/>
        <w:vertAlign w:val="baseline"/>
        <w:position w:val="0"/>
        <w:sz w:val="26"/>
        <w:sz w:val="26"/>
        <w:i w:val="false"/>
        <w:u w:val="none" w:color="000000"/>
        <w:b w:val="false"/>
        <w:szCs w:val="26"/>
        <w:rFonts w:eastAsia="Times New Roman" w:cs="Times New Roman"/>
        <w:color w:val="000000"/>
      </w:rPr>
    </w:lvl>
    <w:lvl w:ilvl="1">
      <w:start w:val="1"/>
      <w:numFmt w:val="lowerLetter"/>
      <w:lvlText w:val="%2"/>
      <w:lvlJc w:val="left"/>
      <w:pPr>
        <w:ind w:left="1673" w:hanging="0"/>
      </w:pPr>
      <w:rPr>
        <w:dstrike w:val="false"/>
        <w:strike w:val="false"/>
        <w:vertAlign w:val="baseline"/>
        <w:position w:val="0"/>
        <w:sz w:val="26"/>
        <w:sz w:val="26"/>
        <w:i w:val="false"/>
        <w:u w:val="none" w:color="000000"/>
        <w:b w:val="false"/>
        <w:szCs w:val="26"/>
        <w:rFonts w:eastAsia="Times New Roman" w:cs="Times New Roman"/>
        <w:color w:val="000000"/>
      </w:rPr>
    </w:lvl>
    <w:lvl w:ilvl="2">
      <w:start w:val="1"/>
      <w:numFmt w:val="lowerRoman"/>
      <w:lvlText w:val="%3"/>
      <w:lvlJc w:val="left"/>
      <w:pPr>
        <w:ind w:left="2393" w:hanging="0"/>
      </w:pPr>
      <w:rPr>
        <w:dstrike w:val="false"/>
        <w:strike w:val="false"/>
        <w:vertAlign w:val="baseline"/>
        <w:position w:val="0"/>
        <w:sz w:val="26"/>
        <w:sz w:val="26"/>
        <w:i w:val="false"/>
        <w:u w:val="none" w:color="000000"/>
        <w:b w:val="false"/>
        <w:szCs w:val="26"/>
        <w:rFonts w:eastAsia="Times New Roman" w:cs="Times New Roman"/>
        <w:color w:val="000000"/>
      </w:rPr>
    </w:lvl>
    <w:lvl w:ilvl="3">
      <w:start w:val="1"/>
      <w:numFmt w:val="decimal"/>
      <w:lvlText w:val="%4"/>
      <w:lvlJc w:val="left"/>
      <w:pPr>
        <w:ind w:left="3113" w:hanging="0"/>
      </w:pPr>
      <w:rPr>
        <w:dstrike w:val="false"/>
        <w:strike w:val="false"/>
        <w:vertAlign w:val="baseline"/>
        <w:position w:val="0"/>
        <w:sz w:val="26"/>
        <w:sz w:val="26"/>
        <w:i w:val="false"/>
        <w:u w:val="none" w:color="000000"/>
        <w:b w:val="false"/>
        <w:szCs w:val="26"/>
        <w:rFonts w:eastAsia="Times New Roman" w:cs="Times New Roman"/>
        <w:color w:val="000000"/>
      </w:rPr>
    </w:lvl>
    <w:lvl w:ilvl="4">
      <w:start w:val="1"/>
      <w:numFmt w:val="lowerLetter"/>
      <w:lvlText w:val="%5"/>
      <w:lvlJc w:val="left"/>
      <w:pPr>
        <w:ind w:left="3833" w:hanging="0"/>
      </w:pPr>
      <w:rPr>
        <w:dstrike w:val="false"/>
        <w:strike w:val="false"/>
        <w:vertAlign w:val="baseline"/>
        <w:position w:val="0"/>
        <w:sz w:val="26"/>
        <w:sz w:val="26"/>
        <w:i w:val="false"/>
        <w:u w:val="none" w:color="000000"/>
        <w:b w:val="false"/>
        <w:szCs w:val="26"/>
        <w:rFonts w:eastAsia="Times New Roman" w:cs="Times New Roman"/>
        <w:color w:val="000000"/>
      </w:rPr>
    </w:lvl>
    <w:lvl w:ilvl="5">
      <w:start w:val="1"/>
      <w:numFmt w:val="lowerRoman"/>
      <w:lvlText w:val="%6"/>
      <w:lvlJc w:val="left"/>
      <w:pPr>
        <w:ind w:left="4553" w:hanging="0"/>
      </w:pPr>
      <w:rPr>
        <w:dstrike w:val="false"/>
        <w:strike w:val="false"/>
        <w:vertAlign w:val="baseline"/>
        <w:position w:val="0"/>
        <w:sz w:val="26"/>
        <w:sz w:val="26"/>
        <w:i w:val="false"/>
        <w:u w:val="none" w:color="000000"/>
        <w:b w:val="false"/>
        <w:szCs w:val="26"/>
        <w:rFonts w:eastAsia="Times New Roman" w:cs="Times New Roman"/>
        <w:color w:val="000000"/>
      </w:rPr>
    </w:lvl>
    <w:lvl w:ilvl="6">
      <w:start w:val="1"/>
      <w:numFmt w:val="decimal"/>
      <w:lvlText w:val="%7"/>
      <w:lvlJc w:val="left"/>
      <w:pPr>
        <w:ind w:left="5273" w:hanging="0"/>
      </w:pPr>
      <w:rPr>
        <w:dstrike w:val="false"/>
        <w:strike w:val="false"/>
        <w:vertAlign w:val="baseline"/>
        <w:position w:val="0"/>
        <w:sz w:val="26"/>
        <w:sz w:val="26"/>
        <w:i w:val="false"/>
        <w:u w:val="none" w:color="000000"/>
        <w:b w:val="false"/>
        <w:szCs w:val="26"/>
        <w:rFonts w:eastAsia="Times New Roman" w:cs="Times New Roman"/>
        <w:color w:val="000000"/>
      </w:rPr>
    </w:lvl>
    <w:lvl w:ilvl="7">
      <w:start w:val="1"/>
      <w:numFmt w:val="lowerLetter"/>
      <w:lvlText w:val="%8"/>
      <w:lvlJc w:val="left"/>
      <w:pPr>
        <w:ind w:left="5993" w:hanging="0"/>
      </w:pPr>
      <w:rPr>
        <w:dstrike w:val="false"/>
        <w:strike w:val="false"/>
        <w:vertAlign w:val="baseline"/>
        <w:position w:val="0"/>
        <w:sz w:val="26"/>
        <w:sz w:val="26"/>
        <w:i w:val="false"/>
        <w:u w:val="none" w:color="000000"/>
        <w:b w:val="false"/>
        <w:szCs w:val="26"/>
        <w:rFonts w:eastAsia="Times New Roman" w:cs="Times New Roman"/>
        <w:color w:val="000000"/>
      </w:rPr>
    </w:lvl>
    <w:lvl w:ilvl="8">
      <w:start w:val="1"/>
      <w:numFmt w:val="lowerRoman"/>
      <w:lvlText w:val="%9"/>
      <w:lvlJc w:val="left"/>
      <w:pPr>
        <w:ind w:left="6713" w:hanging="0"/>
      </w:pPr>
      <w:rPr>
        <w:dstrike w:val="false"/>
        <w:strike w:val="false"/>
        <w:vertAlign w:val="baseline"/>
        <w:position w:val="0"/>
        <w:sz w:val="26"/>
        <w:sz w:val="26"/>
        <w:i w:val="false"/>
        <w:u w:val="none" w:color="000000"/>
        <w:b w:val="false"/>
        <w:szCs w:val="26"/>
        <w:rFonts w:eastAsia="Times New Roman" w:cs="Times New Roman"/>
        <w:color w:val="000000"/>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64" w:before="0" w:after="16"/>
      <w:ind w:left="43" w:hanging="0"/>
      <w:jc w:val="both"/>
    </w:pPr>
    <w:rPr>
      <w:rFonts w:ascii="Times New Roman" w:hAnsi="Times New Roman" w:eastAsia="Times New Roman" w:cs="Times New Roman"/>
      <w:color w:val="000000"/>
      <w:kern w:val="0"/>
      <w:sz w:val="26"/>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Гипертекстовая ссылка"/>
    <w:basedOn w:val="DefaultParagraphFont"/>
    <w:uiPriority w:val="99"/>
    <w:qFormat/>
    <w:rsid w:val="00312f53"/>
    <w:rPr>
      <w:b w:val="false"/>
      <w:bCs w:val="false"/>
      <w:color w:val="106BBE"/>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ListParagraph">
    <w:name w:val="List Paragraph"/>
    <w:basedOn w:val="Normal"/>
    <w:uiPriority w:val="34"/>
    <w:qFormat/>
    <w:rsid w:val="00312f53"/>
    <w:pPr>
      <w:spacing w:before="0" w:after="16"/>
      <w:ind w:left="720" w:hanging="0"/>
      <w:contextualSpacing/>
    </w:pPr>
    <w:rPr/>
  </w:style>
  <w:style w:type="paragraph" w:styleId="Style21" w:customStyle="1">
    <w:name w:val="Комментарий"/>
    <w:basedOn w:val="Normal"/>
    <w:next w:val="Normal"/>
    <w:uiPriority w:val="99"/>
    <w:qFormat/>
    <w:rsid w:val="00312f53"/>
    <w:pPr>
      <w:widowControl w:val="false"/>
      <w:spacing w:lineRule="auto" w:line="240" w:before="75" w:after="0"/>
      <w:ind w:left="170" w:hanging="0"/>
    </w:pPr>
    <w:rPr>
      <w:rFonts w:ascii="Times New Roman CYR" w:hAnsi="Times New Roman CYR" w:eastAsia="" w:cs="Times New Roman CYR" w:eastAsiaTheme="minorEastAsia"/>
      <w:color w:val="353842"/>
      <w:sz w:val="24"/>
      <w:szCs w:val="24"/>
    </w:rPr>
  </w:style>
  <w:style w:type="paragraph" w:styleId="Style22" w:customStyle="1">
    <w:name w:val="Информация о версии"/>
    <w:basedOn w:val="Style21"/>
    <w:next w:val="Normal"/>
    <w:uiPriority w:val="99"/>
    <w:qFormat/>
    <w:rsid w:val="00312f53"/>
    <w:pPr/>
    <w:rPr>
      <w:i/>
      <w:iCs/>
    </w:rPr>
  </w:style>
  <w:style w:type="paragraph" w:styleId="Style2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ivo.garant.ru/document/redirect/70353464/34131" TargetMode="External"/><Relationship Id="rId5" Type="http://schemas.openxmlformats.org/officeDocument/2006/relationships/hyperlink" Target="http://ivo.garant.ru/document/redirect/404917355/11000" TargetMode="External"/><Relationship Id="rId6" Type="http://schemas.openxmlformats.org/officeDocument/2006/relationships/hyperlink" Target="http://ivo.garant.ru/document/redirect/402678582/5000" TargetMode="External"/><Relationship Id="rId7" Type="http://schemas.openxmlformats.org/officeDocument/2006/relationships/hyperlink" Target="http://ivo.garant.ru/document/redirect/12122754/0" TargetMode="External"/><Relationship Id="rId8" Type="http://schemas.openxmlformats.org/officeDocument/2006/relationships/hyperlink" Target="http://ivo.garant.ru/document/redirect/70523096/1000" TargetMode="External"/><Relationship Id="rId9" Type="http://schemas.openxmlformats.org/officeDocument/2006/relationships/hyperlink" Target="http://ivo.garant.ru/document/redirect/12112604/80" TargetMode="External"/><Relationship Id="rId10" Type="http://schemas.openxmlformats.org/officeDocument/2006/relationships/hyperlink" Target="http://ivo.garant.ru/document/redirect/75034158/1000" TargetMode="External"/><Relationship Id="rId11" Type="http://schemas.openxmlformats.org/officeDocument/2006/relationships/hyperlink" Target="http://ivo.garant.ru/document/redirect/75034158/3001" TargetMode="External"/><Relationship Id="rId12" Type="http://schemas.openxmlformats.org/officeDocument/2006/relationships/hyperlink" Target="http://ivo.garant.ru/document/redirect/75034158/0" TargetMode="External"/><Relationship Id="rId13" Type="http://schemas.openxmlformats.org/officeDocument/2006/relationships/hyperlink" Target="http://ivo.garant.ru/document/redirect/403371851/1000" TargetMode="External"/><Relationship Id="rId14" Type="http://schemas.openxmlformats.org/officeDocument/2006/relationships/hyperlink" Target="http://ivo.garant.ru/document/redirect/404733053/0" TargetMode="External"/><Relationship Id="rId15" Type="http://schemas.openxmlformats.org/officeDocument/2006/relationships/hyperlink" Target="http://ivo.garant.ru/document/redirect/70353464/2" TargetMode="External"/><Relationship Id="rId16" Type="http://schemas.openxmlformats.org/officeDocument/2006/relationships/hyperlink" Target="http://ivo.garant.ru/document/redirect/404917355/11000" TargetMode="External"/><Relationship Id="rId17" Type="http://schemas.openxmlformats.org/officeDocument/2006/relationships/hyperlink" Target="http://ivo.garant.ru/document/redirect/404917355/11000" TargetMode="External"/><Relationship Id="rId18" Type="http://schemas.openxmlformats.org/officeDocument/2006/relationships/hyperlink" Target="http://ivo.garant.ru/document/redirect/12112604/2" TargetMode="External"/><Relationship Id="rId19" Type="http://schemas.openxmlformats.org/officeDocument/2006/relationships/hyperlink" Target="http://ivo.garant.ru/document/redirect/404917355/11000" TargetMode="External"/><Relationship Id="rId20" Type="http://schemas.openxmlformats.org/officeDocument/2006/relationships/hyperlink" Target="http://ivo.garant.ru/document/redirect/404917355/11000" TargetMode="External"/><Relationship Id="rId21" Type="http://schemas.openxmlformats.org/officeDocument/2006/relationships/hyperlink" Target="http://ivo.garant.ru/document/redirect/990941/25728" TargetMode="External"/><Relationship Id="rId22" Type="http://schemas.openxmlformats.org/officeDocument/2006/relationships/hyperlink" Target="http://ivo.garant.ru/document/redirect/402678582/5000" TargetMode="External"/><Relationship Id="rId23" Type="http://schemas.openxmlformats.org/officeDocument/2006/relationships/hyperlink" Target="http://ivo.garant.ru/document/redirect/404917355/1000" TargetMode="External"/><Relationship Id="rId24" Type="http://schemas.openxmlformats.org/officeDocument/2006/relationships/hyperlink" Target="http://ivo.garant.ru/document/redirect/75034158/30004" TargetMode="Externa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LibreOffice/6.4.4.2$Windows_X86_64 LibreOffice_project/3d775be2011f3886db32dfd395a6a6d1ca2630ff</Application>
  <Pages>8</Pages>
  <Words>2057</Words>
  <Characters>16189</Characters>
  <CharactersWithSpaces>18255</CharactersWithSpaces>
  <Paragraphs>75</Paragraphs>
  <Company>УФК по Республике Хакасия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2024-02-12T02:54:00Z</dcterms:created>
  <dc:creator>Чатырева Людмила Николаевна</dc:creator>
  <dc:description/>
  <dc:language>ru-RU</dc:language>
  <cp:lastModifiedBy/>
  <cp:lastPrinted>2024-02-13T09:35:01Z</cp:lastPrinted>
  <dcterms:modified xsi:type="dcterms:W3CDTF">2024-02-13T09:36:28Z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УФК по Республике Хакасия</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