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C3" w:rsidRDefault="00575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A15C3" w:rsidRDefault="00575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DA15C3" w:rsidRDefault="0057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A15C3" w:rsidRDefault="00575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A15C3" w:rsidRDefault="00DA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C3" w:rsidRDefault="00DA1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C3" w:rsidRDefault="00575D7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A15C3" w:rsidRDefault="00575D7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5C3" w:rsidRDefault="00DA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5C3" w:rsidRDefault="00575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 февраля  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№ 11</w:t>
      </w:r>
    </w:p>
    <w:p w:rsidR="00DA15C3" w:rsidRDefault="00DA15C3">
      <w:pPr>
        <w:rPr>
          <w:rFonts w:ascii="Times New Roman" w:hAnsi="Times New Roman" w:cs="Times New Roman"/>
          <w:sz w:val="24"/>
          <w:szCs w:val="24"/>
        </w:rPr>
      </w:pPr>
    </w:p>
    <w:p w:rsidR="00DA15C3" w:rsidRDefault="00575D79" w:rsidP="00575D79">
      <w:pPr>
        <w:pStyle w:val="ConsPlusNormal"/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учета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бюджетных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DA15C3" w:rsidRDefault="00575D79" w:rsidP="00575D79">
      <w:pPr>
        <w:pStyle w:val="ConsPlusNormal"/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денежных обязательств  администрации</w:t>
      </w:r>
    </w:p>
    <w:p w:rsidR="00DA15C3" w:rsidRDefault="00575D79" w:rsidP="00575D79">
      <w:pPr>
        <w:pStyle w:val="ConsPlusNormal"/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A15C3" w:rsidRDefault="00DA15C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15C3" w:rsidRDefault="00575D79">
      <w:pPr>
        <w:pStyle w:val="ConsPlusNormal"/>
        <w:spacing w:line="276" w:lineRule="auto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Во исполнение Решения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«О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на 2024 год </w:t>
      </w:r>
      <w:r>
        <w:rPr>
          <w:rFonts w:ascii="Times New Roman" w:hAnsi="Times New Roman" w:cs="Times New Roman"/>
          <w:sz w:val="26"/>
          <w:szCs w:val="26"/>
        </w:rPr>
        <w:t xml:space="preserve">и плановый период 2025-2026 годов» №83 от 29.12.2023 г. (с дополнениями и изменениями), в соответствии со статьёй 219 Бюджетного кодекса Российской Федерации, руководствуясь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в целях орг</w:t>
      </w:r>
      <w:r>
        <w:rPr>
          <w:rFonts w:ascii="Times New Roman" w:hAnsi="Times New Roman" w:cs="Times New Roman"/>
          <w:sz w:val="26"/>
          <w:szCs w:val="26"/>
        </w:rPr>
        <w:t xml:space="preserve">анизации работы по исполнению бюджета,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постановляет:</w:t>
      </w:r>
      <w:proofErr w:type="gramEnd"/>
    </w:p>
    <w:p w:rsidR="00DA15C3" w:rsidRDefault="00575D7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учета бюджетных и денежных обязательств бюджета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A15C3" w:rsidRDefault="00575D79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Отменить порядок учета бюджетных и денеж</w:t>
      </w:r>
      <w:r>
        <w:rPr>
          <w:rFonts w:ascii="Times New Roman" w:hAnsi="Times New Roman" w:cs="Times New Roman"/>
          <w:sz w:val="26"/>
          <w:szCs w:val="26"/>
        </w:rPr>
        <w:t xml:space="preserve">ных обязательств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24.06.2021 №47.</w:t>
      </w:r>
    </w:p>
    <w:p w:rsidR="00DA15C3" w:rsidRDefault="00575D7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по исполнению данного Постановления возложить на главного бухгалтера централизованной бухгалтерии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A15C3" w:rsidRDefault="00DA15C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15C3" w:rsidRDefault="00DA15C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15C3" w:rsidRDefault="00DA15C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A15C3" w:rsidRDefault="00575D7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DA15C3" w:rsidRDefault="00575D7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C3" w:rsidRDefault="00DA15C3">
      <w:pPr>
        <w:spacing w:after="333" w:line="220" w:lineRule="auto"/>
        <w:ind w:left="283" w:right="484" w:firstLine="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C3" w:rsidRDefault="00DA15C3">
      <w:pPr>
        <w:spacing w:after="333" w:line="220" w:lineRule="auto"/>
        <w:ind w:left="283" w:right="484" w:firstLine="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C3" w:rsidRDefault="00DA15C3">
      <w:pPr>
        <w:spacing w:after="333" w:line="220" w:lineRule="auto"/>
        <w:ind w:left="283" w:right="484" w:firstLine="1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C3" w:rsidRDefault="00575D79">
      <w:pPr>
        <w:spacing w:after="333" w:line="220" w:lineRule="auto"/>
        <w:ind w:left="283" w:right="484" w:firstLine="1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учета бюджетных и денежных обязательств получателей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A15C3" w:rsidRDefault="00575D79">
      <w:pPr>
        <w:spacing w:after="289" w:line="220" w:lineRule="auto"/>
        <w:ind w:left="293" w:right="46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Общие положения.</w:t>
      </w:r>
    </w:p>
    <w:p w:rsidR="00DA15C3" w:rsidRDefault="00575D79">
      <w:pPr>
        <w:numPr>
          <w:ilvl w:val="0"/>
          <w:numId w:val="1"/>
        </w:numPr>
        <w:spacing w:after="5" w:line="252" w:lineRule="auto"/>
        <w:ind w:right="13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7266305</wp:posOffset>
            </wp:positionH>
            <wp:positionV relativeFrom="page">
              <wp:posOffset>3528695</wp:posOffset>
            </wp:positionV>
            <wp:extent cx="14605" cy="14605"/>
            <wp:effectExtent l="0" t="0" r="0" b="0"/>
            <wp:wrapSquare wrapText="bothSides"/>
            <wp:docPr id="1" name="Picture 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1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учета бюджетных и денежных обязательств получателей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— Порядок) разработан в соответствии со статьей 219 Бюджетного кодекса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устанавливает порядок исполнения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— бюджет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) по расходам в части постановки на учет бюджетных и денежных обязательств получате</w:t>
      </w:r>
      <w:r>
        <w:rPr>
          <w:rFonts w:ascii="Times New Roman" w:hAnsi="Times New Roman" w:cs="Times New Roman"/>
          <w:sz w:val="24"/>
          <w:szCs w:val="24"/>
        </w:rPr>
        <w:t xml:space="preserve">лей средств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бюджетные обязательства, денежные обязательства) и внесения в них изменений отделом № 9 Управления Федерального казначейства по Республике Хакасия (далее Террито</w:t>
      </w:r>
      <w:r>
        <w:rPr>
          <w:rFonts w:ascii="Times New Roman" w:hAnsi="Times New Roman" w:cs="Times New Roman"/>
          <w:sz w:val="24"/>
          <w:szCs w:val="24"/>
        </w:rPr>
        <w:t>риальный отдел) в целях отражения указанных операций в пределах лимитов бюджетных обязательств на лицевых счетах получателей средств местного бюджета, открытых в установленном порядке в Территориальном отделе (далее — лицевые счета).</w:t>
      </w:r>
    </w:p>
    <w:p w:rsidR="00DA15C3" w:rsidRDefault="00575D79">
      <w:pPr>
        <w:numPr>
          <w:ilvl w:val="0"/>
          <w:numId w:val="1"/>
        </w:numPr>
        <w:spacing w:after="5" w:line="252" w:lineRule="auto"/>
        <w:ind w:right="13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</w:t>
      </w:r>
      <w:r>
        <w:rPr>
          <w:rFonts w:ascii="Times New Roman" w:hAnsi="Times New Roman" w:cs="Times New Roman"/>
          <w:sz w:val="24"/>
          <w:szCs w:val="24"/>
        </w:rPr>
        <w:t>орядка используются приложения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№</w:t>
      </w:r>
      <w:r>
        <w:rPr>
          <w:rFonts w:ascii="Times New Roman" w:hAnsi="Times New Roman" w:cs="Times New Roman"/>
          <w:sz w:val="24"/>
          <w:szCs w:val="24"/>
        </w:rPr>
        <w:t xml:space="preserve"> 258н (далее порядок 258н).</w:t>
      </w:r>
    </w:p>
    <w:p w:rsidR="00DA15C3" w:rsidRDefault="00575D79">
      <w:pPr>
        <w:ind w:left="71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обязательстве, реквизиты которых установлены в приложениях № 1 и № 2 к действующему порядку 258н, сформированных по</w:t>
      </w:r>
      <w:r>
        <w:rPr>
          <w:rFonts w:ascii="Times New Roman" w:hAnsi="Times New Roman" w:cs="Times New Roman"/>
          <w:sz w:val="24"/>
          <w:szCs w:val="24"/>
        </w:rPr>
        <w:t xml:space="preserve">лучателем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и Территориальным отделом в случаях, установленных настоящим Порядком.</w:t>
      </w:r>
    </w:p>
    <w:p w:rsidR="00DA15C3" w:rsidRDefault="00575D79">
      <w:pPr>
        <w:numPr>
          <w:ilvl w:val="0"/>
          <w:numId w:val="2"/>
        </w:numPr>
        <w:spacing w:after="5" w:line="252" w:lineRule="auto"/>
        <w:ind w:right="10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 формируются в фор</w:t>
      </w:r>
      <w:r>
        <w:rPr>
          <w:rFonts w:ascii="Times New Roman" w:hAnsi="Times New Roman" w:cs="Times New Roman"/>
          <w:sz w:val="24"/>
          <w:szCs w:val="24"/>
        </w:rPr>
        <w:t>ме электронного документа в информационных системах Министерства финансов Российской Федерации и Федерального казначейства (далее — информационная система) и подписываются усиленной квалифицированной электронной подписью (далее электронная подпись)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ителя или иного лица, уполномоченного действовать в установленном законодательством Российской Федерации порядке (уполномоченное лицо) от имени получателя средств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в соответств</w:t>
      </w:r>
      <w:r>
        <w:rPr>
          <w:rFonts w:ascii="Times New Roman" w:hAnsi="Times New Roman" w:cs="Times New Roman"/>
          <w:sz w:val="24"/>
          <w:szCs w:val="24"/>
        </w:rPr>
        <w:t>ующей информационной системе.</w:t>
      </w:r>
    </w:p>
    <w:p w:rsidR="00DA15C3" w:rsidRDefault="00575D79">
      <w:pPr>
        <w:numPr>
          <w:ilvl w:val="0"/>
          <w:numId w:val="2"/>
        </w:numPr>
        <w:spacing w:after="5" w:line="252" w:lineRule="auto"/>
        <w:ind w:right="10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обязательстве формируются на основании документов, предусмотренных в графах 2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 получателей </w:t>
      </w:r>
      <w:r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и документов, подтверждающих возникновение денежных обязательств получателей средств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, согласно приложения к настоящему Порядку (далее соответс</w:t>
      </w:r>
      <w:r>
        <w:rPr>
          <w:rFonts w:ascii="Times New Roman" w:hAnsi="Times New Roman" w:cs="Times New Roman"/>
          <w:sz w:val="24"/>
          <w:szCs w:val="24"/>
        </w:rPr>
        <w:t>твенно - Перечень).</w:t>
      </w:r>
    </w:p>
    <w:p w:rsidR="00DA15C3" w:rsidRDefault="00575D79">
      <w:pPr>
        <w:ind w:left="71" w:right="10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Сведениях о бюджетном обязательстве и Сведениях о денежном обязательстве, должна соответствовать аналогичной информации,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содержащейся в документе-основании и документе,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возникновение денежного </w:t>
      </w:r>
      <w:r>
        <w:rPr>
          <w:rFonts w:ascii="Times New Roman" w:hAnsi="Times New Roman" w:cs="Times New Roman"/>
          <w:sz w:val="24"/>
          <w:szCs w:val="24"/>
        </w:rPr>
        <w:t>обязательства.</w:t>
      </w:r>
    </w:p>
    <w:p w:rsidR="00DA15C3" w:rsidRDefault="00575D79">
      <w:pPr>
        <w:pStyle w:val="a9"/>
        <w:numPr>
          <w:ilvl w:val="0"/>
          <w:numId w:val="2"/>
        </w:numPr>
        <w:spacing w:line="240" w:lineRule="auto"/>
        <w:ind w:right="102" w:firstLine="710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«Сведения </w:t>
      </w:r>
      <w:r>
        <w:rPr>
          <w:sz w:val="24"/>
          <w:szCs w:val="24"/>
          <w:shd w:val="clear" w:color="auto" w:fill="FFFFFF"/>
        </w:rPr>
        <w:t> о бюджетном обязательстве и </w:t>
      </w:r>
      <w:hyperlink r:id="rId7" w:anchor="block_20000" w:history="1">
        <w:r>
          <w:rPr>
            <w:sz w:val="24"/>
            <w:szCs w:val="24"/>
            <w:highlight w:val="white"/>
          </w:rPr>
          <w:t>Сведения</w:t>
        </w:r>
      </w:hyperlink>
      <w:r>
        <w:rPr>
          <w:sz w:val="24"/>
          <w:szCs w:val="24"/>
          <w:shd w:val="clear" w:color="auto" w:fill="FFFFFF"/>
        </w:rPr>
        <w:t> о денежном обязательстве формируются с использованием единой государственной интегрированной инф</w:t>
      </w:r>
      <w:r>
        <w:rPr>
          <w:sz w:val="24"/>
          <w:szCs w:val="24"/>
          <w:shd w:val="clear" w:color="auto" w:fill="FFFFFF"/>
        </w:rPr>
        <w:t>ормационной системы управления общественными финансами "Электронный бюджет" (далее - система "Электронный бюджет")</w:t>
      </w:r>
      <w:proofErr w:type="gramStart"/>
      <w:r>
        <w:rPr>
          <w:sz w:val="24"/>
          <w:szCs w:val="24"/>
          <w:shd w:val="clear" w:color="auto" w:fill="FFFFFF"/>
          <w:vertAlign w:val="superscript"/>
        </w:rPr>
        <w:t> </w:t>
      </w:r>
      <w:r>
        <w:rPr>
          <w:sz w:val="24"/>
          <w:szCs w:val="24"/>
          <w:shd w:val="clear" w:color="auto" w:fill="FFFFFF"/>
        </w:rPr>
        <w:t>,</w:t>
      </w:r>
      <w:proofErr w:type="gramEnd"/>
      <w:r>
        <w:rPr>
          <w:sz w:val="24"/>
          <w:szCs w:val="24"/>
          <w:shd w:val="clear" w:color="auto" w:fill="FFFFFF"/>
        </w:rPr>
        <w:t xml:space="preserve"> за исключением случая формирования Сведений о бюджетном обязательстве и Сведений о денежном обязательстве с использованием единой информаци</w:t>
      </w:r>
      <w:r>
        <w:rPr>
          <w:sz w:val="24"/>
          <w:szCs w:val="24"/>
          <w:shd w:val="clear" w:color="auto" w:fill="FFFFFF"/>
        </w:rPr>
        <w:t>онной системы в сфере закупок (далее - единая информационная система)</w:t>
      </w:r>
      <w:r>
        <w:rPr>
          <w:sz w:val="24"/>
          <w:szCs w:val="24"/>
          <w:shd w:val="clear" w:color="auto" w:fill="FFFFFF"/>
          <w:vertAlign w:val="superscript"/>
        </w:rPr>
        <w:t> </w:t>
      </w:r>
      <w:r>
        <w:rPr>
          <w:sz w:val="24"/>
          <w:szCs w:val="24"/>
          <w:shd w:val="clear" w:color="auto" w:fill="FFFFFF"/>
        </w:rPr>
        <w:t> на основании документов-оснований, документов, подтверждающих возникновение денежного обязательства, предусмотренных </w:t>
      </w:r>
      <w:hyperlink r:id="rId8" w:anchor="block_30001" w:history="1">
        <w:r>
          <w:rPr>
            <w:sz w:val="24"/>
            <w:szCs w:val="24"/>
            <w:highlight w:val="white"/>
          </w:rPr>
          <w:t>пунктам</w:t>
        </w:r>
        <w:r>
          <w:rPr>
            <w:sz w:val="24"/>
            <w:szCs w:val="24"/>
            <w:highlight w:val="white"/>
          </w:rPr>
          <w:t>и</w:t>
        </w:r>
      </w:hyperlink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</w:t>
      </w:r>
      <w:r>
        <w:rPr>
          <w:sz w:val="24"/>
          <w:szCs w:val="24"/>
          <w:shd w:val="clear" w:color="auto" w:fill="FFFFFF"/>
        </w:rPr>
        <w:t xml:space="preserve">, Перечня, подлежащих размещению в единой информационной системе, а также пунктом 3 Перечня, </w:t>
      </w:r>
      <w:proofErr w:type="gramStart"/>
      <w:r>
        <w:rPr>
          <w:sz w:val="24"/>
          <w:szCs w:val="24"/>
          <w:shd w:val="clear" w:color="auto" w:fill="FFFFFF"/>
        </w:rPr>
        <w:t>сведения</w:t>
      </w:r>
      <w:proofErr w:type="gramEnd"/>
      <w:r>
        <w:rPr>
          <w:sz w:val="24"/>
          <w:szCs w:val="24"/>
          <w:shd w:val="clear" w:color="auto" w:fill="FFFFFF"/>
        </w:rPr>
        <w:t xml:space="preserve"> о которых подлежат включению в определенный </w:t>
      </w:r>
      <w:hyperlink r:id="rId9" w:anchor="block_2" w:history="1">
        <w:r>
          <w:rPr>
            <w:sz w:val="24"/>
            <w:szCs w:val="24"/>
            <w:highlight w:val="white"/>
          </w:rPr>
          <w:t>законодательст</w:t>
        </w:r>
        <w:r>
          <w:rPr>
            <w:sz w:val="24"/>
            <w:szCs w:val="24"/>
            <w:highlight w:val="white"/>
          </w:rPr>
          <w:t>вом</w:t>
        </w:r>
      </w:hyperlink>
      <w:r>
        <w:rPr>
          <w:sz w:val="24"/>
          <w:szCs w:val="24"/>
          <w:shd w:val="clear" w:color="auto" w:fill="FFFFFF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 </w:t>
      </w:r>
      <w:hyperlink r:id="rId10" w:anchor="block_5000" w:history="1">
        <w:r>
          <w:rPr>
            <w:sz w:val="24"/>
            <w:szCs w:val="24"/>
            <w:highlight w:val="white"/>
          </w:rPr>
          <w:t>порядком</w:t>
        </w:r>
      </w:hyperlink>
      <w:r>
        <w:rPr>
          <w:sz w:val="24"/>
          <w:szCs w:val="24"/>
          <w:shd w:val="clear" w:color="auto" w:fill="FFFFFF"/>
        </w:rPr>
        <w:t>, предусмотренным </w:t>
      </w:r>
      <w:hyperlink r:id="rId11" w:anchor="block_1036" w:history="1">
        <w:r>
          <w:rPr>
            <w:sz w:val="24"/>
            <w:szCs w:val="24"/>
            <w:highlight w:val="white"/>
          </w:rPr>
          <w:t>частью 6 статьи 103</w:t>
        </w:r>
      </w:hyperlink>
      <w:r>
        <w:rPr>
          <w:sz w:val="24"/>
          <w:szCs w:val="24"/>
          <w:shd w:val="clear" w:color="auto" w:fill="FFFFFF"/>
        </w:rPr>
        <w:t> Федерального закона от 5 апреля 2013 г. N 44-ФЗ "О контрактной системе в</w:t>
      </w:r>
      <w:r>
        <w:rPr>
          <w:sz w:val="24"/>
          <w:szCs w:val="24"/>
          <w:shd w:val="clear" w:color="auto" w:fill="FFFFFF"/>
        </w:rPr>
        <w:t xml:space="preserve"> сфере закупок товаров, работ, услуг для обеспечения государственных и муниципальных нужд".</w:t>
      </w:r>
    </w:p>
    <w:p w:rsidR="00DA15C3" w:rsidRDefault="00575D79">
      <w:pPr>
        <w:pStyle w:val="a9"/>
        <w:numPr>
          <w:ilvl w:val="0"/>
          <w:numId w:val="2"/>
        </w:numPr>
        <w:spacing w:line="240" w:lineRule="auto"/>
        <w:ind w:right="102" w:firstLine="71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До ввода в эксплуатацию компонентов, модулей информационной системы «Электронный бюджет», формирование Сведений о бюджетном обязательстве и Сведений о денежном обяз</w:t>
      </w:r>
      <w:r>
        <w:rPr>
          <w:sz w:val="24"/>
          <w:szCs w:val="24"/>
          <w:shd w:val="clear" w:color="auto" w:fill="FFFFFF"/>
        </w:rPr>
        <w:t xml:space="preserve">ательстве осуществляется получателями бюджетных средств с использованием информационных систем получателей бюджетных </w:t>
      </w:r>
      <w:proofErr w:type="gramStart"/>
      <w:r>
        <w:rPr>
          <w:sz w:val="24"/>
          <w:szCs w:val="24"/>
          <w:shd w:val="clear" w:color="auto" w:fill="FFFFFF"/>
        </w:rPr>
        <w:t>средств</w:t>
      </w:r>
      <w:proofErr w:type="gramEnd"/>
      <w:r>
        <w:rPr>
          <w:sz w:val="24"/>
          <w:szCs w:val="24"/>
          <w:shd w:val="clear" w:color="auto" w:fill="FFFFFF"/>
        </w:rPr>
        <w:t xml:space="preserve"> и представляются в Управление посредством системы удаленного финансового документооборота (СУФД Портал) Федерального казначейства.</w:t>
      </w:r>
    </w:p>
    <w:p w:rsidR="00DA15C3" w:rsidRPr="00575D79" w:rsidRDefault="00575D79" w:rsidP="00575D79">
      <w:pPr>
        <w:numPr>
          <w:ilvl w:val="0"/>
          <w:numId w:val="2"/>
        </w:numPr>
        <w:spacing w:after="897" w:line="252" w:lineRule="auto"/>
        <w:ind w:right="10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порядком № 258н.</w:t>
      </w:r>
      <w:bookmarkStart w:id="0" w:name="_GoBack"/>
      <w:bookmarkEnd w:id="0"/>
    </w:p>
    <w:p w:rsidR="00DA15C3" w:rsidRDefault="00DA15C3">
      <w:pPr>
        <w:spacing w:after="289" w:line="220" w:lineRule="auto"/>
        <w:ind w:left="2122" w:right="16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C3" w:rsidRDefault="00575D79">
      <w:pPr>
        <w:spacing w:after="289" w:line="220" w:lineRule="auto"/>
        <w:ind w:left="2122" w:right="16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Постановка на учет бюджетных </w:t>
      </w:r>
      <w:r>
        <w:rPr>
          <w:rFonts w:ascii="Times New Roman" w:hAnsi="Times New Roman" w:cs="Times New Roman"/>
          <w:b/>
          <w:sz w:val="24"/>
          <w:szCs w:val="24"/>
        </w:rPr>
        <w:t>обязательств и внесение в них изменений.</w:t>
      </w:r>
    </w:p>
    <w:p w:rsidR="00DA15C3" w:rsidRDefault="00DA15C3">
      <w:pPr>
        <w:spacing w:after="289" w:line="220" w:lineRule="auto"/>
        <w:ind w:left="2122" w:right="16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5C3" w:rsidRDefault="00575D7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бюджетных обязательствах, возникших на основании документов-оснований, предусмотренных </w:t>
      </w:r>
      <w:hyperlink w:anchor="sub_3000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hyperlink w:anchor="sub_30009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1 граф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2-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sub_3000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</w:t>
        </w:r>
      </w:hyperlink>
      <w:hyperlink w:anchor="sub_300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(далее - принятые бюджетн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ые обязательства), формируются в соответствии с настоящим Порядком: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органом Федерального казначейства:</w:t>
      </w:r>
      <w:bookmarkStart w:id="1" w:name="sub_1081"/>
      <w:bookmarkEnd w:id="1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5, 6</w:t>
        </w:r>
      </w:hyperlink>
      <w:hyperlink w:anchor="sub_300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- одновременно с включением сведений о соответствующем документе-основании в реестр соглашений (договоров)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предоставлении субсидий, бюджетных инвестиций, ведение которого осуществляется в порядке, установле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нном Министерством финансов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hyperlink w:anchor="sub_2222">
        <w:r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реестр соглашений);</w:t>
      </w:r>
    </w:p>
    <w:p w:rsidR="00DA15C3" w:rsidRDefault="00575D7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бюджетных обязательствах, возникших на основании документов-оснований, предусмотренных </w:t>
      </w:r>
      <w:hyperlink w:anchor="sub_300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8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средств местного бюджета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порядком казначейского обслуживания, установленным Федеральным казначейством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hyperlink w:anchor="sub_3333">
        <w:r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типа бюджетного обязательства;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получателем средств местного бюджета:</w:t>
      </w:r>
      <w:bookmarkStart w:id="2" w:name="sub_1082"/>
      <w:bookmarkEnd w:id="2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 принимаемых бюджетных обязательств, возникших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документов-оснований, предусмотренных: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sub_3000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принять участие в определении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 (подрядчика, исполнителя) в форме электронного документа;</w:t>
      </w:r>
      <w:bookmarkStart w:id="3" w:name="sub_10823"/>
      <w:bookmarkEnd w:id="3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сведения о котором подлежат включению в реестр контрактов, - одновременно с направлением в Федеральное казначейство сведений о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аключенном государственном контракте, подлежащих включению в реестр контрактов в соответствии с </w:t>
      </w:r>
      <w:hyperlink r:id="rId1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ведения реестра контрактов;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4">
        <w:proofErr w:type="gram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Перечня, не содержащих сведения, составляющие государственную тайну, информация о которых подлежит включению в реестр контрактов, содержащий государственную тайну, а также предусмотренных </w:t>
      </w:r>
      <w:hyperlink w:anchor="sub_3000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- не поздн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ее трех рабочих дней, следующих за днем заключения государственного контракта, договора, указанных в названных пунктах графы 2 Перечня;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12">
        <w:proofErr w:type="gram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6 - 7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в срок, установленный </w:t>
      </w:r>
      <w:hyperlink r:id="rId1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для представления в установленном порядке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получателем средств местного бюджета - должником информации об источнике образования задолженност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 кодах </w:t>
      </w:r>
      <w:hyperlink r:id="rId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бюджетной 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 налога, сбора, страхового взноса, пеней и штрафов, предусматривающее обращение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взыскания на средства бюджетов бюджетной системы Российской Федерации (далее - решение налогового органа);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8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 денежных обязательств по которым осуществляется в случаях, установленных </w:t>
      </w:r>
      <w:hyperlink w:anchor="sub_1022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абзацами третьим - седьмым пункта 22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№ 258н, не позднее трех рабочих дней со дня поступления документа-основания получателю средств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бюджета для оплаты.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Для внесения изменений в поставленное на учет бюджетное обязательство (аннулирования неисполненной части бюджетного обязательства) формируются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 бюджетном обязательстве в соответств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с положениями </w:t>
      </w:r>
      <w:hyperlink w:anchor="sub_100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 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9 Порядка № 258н с указанием учетного номера бюджетного обязательства, в которое вносится изменение.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внесения изменений в бюджетное обязательство, предусматривающих изменение суммы принятого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юджетного обязательства, возникшего на основании документов-оснований, предусмотренных </w:t>
      </w: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(сведения о которых подлежат включению в реестр контрактов), </w:t>
      </w:r>
      <w:hyperlink w:anchor="sub_3000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до внесения изменений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поставленное на учет бюджетное обязательство для осуществления проверки, предусмотренной:</w:t>
      </w:r>
      <w:bookmarkStart w:id="4" w:name="sub_10092"/>
      <w:bookmarkEnd w:id="4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внесения изменений в поставленное на учет бюджетное обязательство без внесения изменений в документ-основание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предусмотренный </w:t>
      </w: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и </w:t>
      </w:r>
      <w:hyperlink w:anchor="sub_3000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3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получатель средств местного бюджета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При постановке на учет бюдже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тных обязательств (внесении в них изменений) в соответствии со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сформированными получателем средств местного бюджета, орган Федерального казначейства осуществляет их проверку по следующим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направлениям: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информации о бюджетном обязательстве, указанной в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Сведениях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документам-основаниям, подлежащим представлению получателями средств местного бюджета в органы Федерального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азначейства для постановки на учет бюджетных обязательств в соответствии с настоящим Порядком);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0112"/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обязательстве в соответствии с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 N 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258н;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0113"/>
      <w:bookmarkEnd w:id="6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суммы бюджетного обязательства по соответствующим кодам </w:t>
      </w:r>
      <w:hyperlink r:id="rId1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расходов местного бюджета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года, для первого и для второго года планового периода;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0114"/>
      <w:bookmarkEnd w:id="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предмета бюджетного обязательства, указанного в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Сведениях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документе-основании, коду вида (кодам видов) расходов </w:t>
      </w:r>
      <w:hyperlink r:id="rId1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местного бюджета, указанному в Сведениях о бюджетном обязательстве, документе-основании.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10116"/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постановке на учет бюджетных обязательств, возникающих на основании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кумента-основания, предусмотренного </w:t>
      </w: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сведения о котором подлежат включению в реестр контрактов, орган Федерального казначейства при проведении проверки осуществляет проверку соответствия информации,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включаемой в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аналогичной информации, подлежащей включению в реестр контрактов, и условиям документа-основания.</w:t>
      </w:r>
      <w:bookmarkStart w:id="9" w:name="sub_10118"/>
      <w:bookmarkEnd w:id="9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постановке на учет бюджетных обязательств, возникающих на основании доку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ментов-оснований, предусмотренных </w:t>
      </w:r>
      <w:hyperlink w:anchor="sub_3000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sub_30003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подлежащих размещению в единой информационной системе, при проведении проверки орган Федерального казначейства осуществляет провер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соответствия информации, включаемой в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аналогичной информации, подлежащей проверке в соответствии с </w:t>
      </w:r>
      <w:hyperlink r:id="rId1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роля N 1193.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внесения изменений в поставленное на учет бюджетное обязательство, предусматривающих уменьшение суммы принятого бюджетного обязательства, орган Федерального казначейства осуществляет проверку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непревышения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суммы исполнения бюджетного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бязательства над изменяемой суммой бюджетного обязательства.</w:t>
      </w:r>
      <w:bookmarkStart w:id="10" w:name="sub_101110"/>
      <w:bookmarkEnd w:id="10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по документу-основанию, заключенному (принятому) в целях осуществления капитальных вложений в объекты капитальн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мероприятия по информатизации) органом Федерального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казначейства осуществляется проверка, предусмотренная </w:t>
      </w:r>
      <w:hyperlink w:anchor="sub_10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 11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бюджетных средств;</w:t>
      </w:r>
      <w:bookmarkStart w:id="11" w:name="sub_10122"/>
      <w:bookmarkEnd w:id="11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постановке на учет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принимаемого бюджетного обязательства, возникающего на основании документа-основания, предусмотренного </w:t>
      </w:r>
      <w:hyperlink w:anchor="sub_3000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 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заключаемого в целях осуществления капитальных вложений в объекты капитального строительств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в дополнение к проверке, предусмотренной </w:t>
      </w:r>
      <w:hyperlink w:anchor="sub_10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№258н, орган Федерального казначейства осуществляет проверку наличия в составе документа-основания утвержденной проектной документации на объекты капитального строительства.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Проверка, предусмотренная </w:t>
      </w:r>
      <w:hyperlink w:anchor="sub_101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астоящего пункта, не осуществляется при постановке на учет бюджетного обязательств по объектам капитального строительства, в отношении которых в случаях и порядке, установленных </w:t>
      </w:r>
      <w:hyperlink r:id="rId1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ельством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заключаются государственные контракты, предметами которых являются одновременно подготовка проектной документаци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и (или) выполнение инженерных изысканий, выполнение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строительству, реконструкции объекта капитального строительства.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13.1. При постановке на учет бюджетного обязательства (внесении в него изменений) орган Федерального казначейства осуществляет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роверку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сформированном на основании документа-основания, предусмотренного пунктом: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hyperlink w:anchor="sub_30003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сформированного с исп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ользованием единой информационной системы, - в течение одного рабочего дня, следующего за днем поступления в орган Федерального казначейства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или документа-основания в соответствии с </w:t>
      </w:r>
      <w:hyperlink r:id="rId1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контроля N 1193;</w:t>
      </w:r>
      <w:bookmarkStart w:id="12" w:name="sub_101312"/>
      <w:bookmarkEnd w:id="12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сформированного с использов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анием единой информационной системы, - в течение трех рабочих дней, следующих за днем поступления в орган Федерального казначейства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или документа-основания в соответствии с </w:t>
      </w:r>
      <w:hyperlink r:id="rId2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ведения реестра контрактов;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2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сформированного без использования единой информационной системы, - в течение пяти рабочих дней, следую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щих за днем поступления в орган Федерального казначейства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3000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3-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сформированного без использования единой информационной системы, - в течение двух раб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очих дней, следующих за днем поступления в орган Федерального казначейства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13.2. При формировании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с использованием 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информационной системы проверка, предусмотренная: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101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абзацами четвертым</w:t>
        </w:r>
      </w:hyperlink>
      <w:hyperlink w:anchor="sub_1011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11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№ 258н, осуществляется в системе "Электронный бюджет".</w:t>
      </w:r>
      <w:bookmarkStart w:id="13" w:name="sub_101323"/>
      <w:bookmarkEnd w:id="13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положительного результата проверки, указанной в </w:t>
      </w:r>
      <w:hyperlink w:anchor="sub_10132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бюджетных обязательствах и информация о положительном результате проверок направляются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истему "Электронный бюджет" для осуществления проверки.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положительного результата проверки, предусмотренной пунктами 11 - 13 Порядка № 258н, орган Федерального казначейства присваивает учетный номер бюджетному обязательству (вносит изменения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бюджетное обязательство) в течение сроков, указанных в </w:t>
      </w:r>
      <w:hyperlink w:anchor="sub_10131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 - пятом пункта 13.1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 в день постановки на учет бюджетного обязательства (внесения изменений в бюджетное обязательство) направляет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олучателю средств местного бюджета извещение о постановке на учет (изменении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бюджетного обязательства, реквизиты которого установлены в </w:t>
      </w:r>
      <w:hyperlink w:anchor="sub_1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 12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№258н (далее - Извещение о бюджетном обязательстве).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1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Извещение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направляется органом Федерального казначейства получателю средств местного бюджета: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подписанного </w:t>
      </w:r>
      <w:hyperlink r:id="rId2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электронной подписью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уполномоченного лица органа Федерального казначейства, - в отношении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представленных в форме электронного документа.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Учетный номер бюджетного обязательства являетс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уникальным и не подлежит изменению, в том числе при изменении отдельных реквизитов бюджетного обязательства.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Учетный номер бюджетного обязательства имеет следующую структуру, состоящую из девятнадцати разрядов: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по 8 разряд - код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</w:t>
      </w:r>
      <w:hyperlink r:id="rId2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мирования и ведения которого установлен Министерством финансов Российской Федерации;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11 по 19 разряд - номер бюджетного обязательства, присваиваемый органом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казначейства в рамках одного календарного года.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Одно поставленное на учет бюджетное обязательство может содержать несколько кодов </w:t>
      </w:r>
      <w:hyperlink r:id="rId2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местного бюд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жета и уникальных кодов объектов капитального строительства или объектов недвижимого имущества (мероприятий по информатизации) (при наличии).</w:t>
      </w:r>
      <w:bookmarkStart w:id="14" w:name="sub_1015"/>
      <w:bookmarkEnd w:id="14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отрицательного результата проверки Сведений о бюджетном обязательстве орган Федерального направляет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</w:t>
      </w:r>
      <w:hyperlink r:id="rId2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и функционирования системы казначейских платежей, установленными Федеральным казначейством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уведомление).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превышения суммы бюджетного обязательства по соответствующим кодам </w:t>
      </w:r>
      <w:hyperlink r:id="rId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местного бюджета 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Федерации над суммой неиспользованных лимитов бюджетных обязательств, отраженных на соответствующем лицевом счете, орган Федерального казначейства в сроки, установленные </w:t>
      </w:r>
      <w:hyperlink w:anchor="sub_10131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абзацами вторым - пятым пункта 13.1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Порядка: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sub_3000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hyperlink w:anchor="sub_300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1, 8 графы 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а также бюджетных обязательств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 на основании документов-оснований, предусмотренных пунктом 8 графы 2 Перечня, связанных с перечислением сумм возврата дебиторской задолженности прошлых лет в доход местного бюджета):</w:t>
      </w:r>
      <w:bookmarkStart w:id="15" w:name="sub_10172"/>
      <w:bookmarkEnd w:id="15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 в электронной форме, - направляет получателю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местного бюджета уведомление в электронной форме;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Сведений о бюджетных обязательствах, возникших на основании документов-оснований источником финансового обеспечения которых являются лимиты бюджетных обязательств по дополнительному бюд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жетному финансированию, а также документов-оснований, связанных с перечислением сумм возврата дебиторской задолженности прошлых лет в доход местного бюджета), - присваивает учетный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бюджетному обязательству (вносит в него изменения) и в день постановк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 учет бюджетного обязательства (внесения в него изменений) направляет:</w:t>
      </w:r>
      <w:bookmarkStart w:id="16" w:name="sub_10175"/>
      <w:bookmarkEnd w:id="16"/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получателю средств местного бюджета </w:t>
      </w:r>
      <w:hyperlink w:anchor="sub_1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Извещение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получателю средств местного бюджета и главному распорядителю (распорядителю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реквизиты которого установлены в </w:t>
      </w:r>
      <w:hyperlink w:anchor="sub_4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 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№ 258н (далее - Уведомление о превышении).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превышения в течение текущего финансового года суммы поставленного на учет бюджетного обязательства, возникшего на основании документа-основания, связанного с осуществлением кап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итальных вложений, по уникальному коду объекта капитального строительства или объекта недвижимого имущества, отраженному на лицевом счете получателя бюджетных средств, над суммой неиспользованных лимитов бюджетных обязательств по коду </w:t>
      </w:r>
      <w:hyperlink r:id="rId2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бюджетной 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местного бюджета, детализированному по соответствующему уникальному коду объекта капитального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 или объекта недвижимого имущества, орган Федерального казначей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ства направляет главному распорядителю (распорядителю) средств местного бюджета и получателю средств местного бюджета Уведомление о превышении не позднее рабочего дня, следующего за днем образования превышения, содержащее указание на установленный Правител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ьством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предельный срок для внесения изменений в документ-основание, в соответствии с которым возникло указанное бюджетное обязательство.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 В бюджетные обязательства, поставленные на учет до начала текущего финансового года, исполнен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которых осуществляется в текущем финансовом году, вносятся изменения органом Федерального казначейства в соответствии с </w:t>
      </w:r>
      <w:hyperlink w:anchor="sub_100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 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10 Порядка № 258н в первый рабочий день текущего финансового года: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бюджетных обяза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тельств, возникших на основании документов-оснований, предусмотренных </w:t>
      </w:r>
      <w:hyperlink w:anchor="sub_3000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1 -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</w:t>
      </w:r>
      <w:hyperlink w:anchor="sub_3001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sub_3001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7 графы 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- на сумму неисполненного на конец отчетного финанс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ового года бюджетного обязательства и сумму, предусмотренную на плановый период (при наличии);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sub_10182"/>
      <w:bookmarkEnd w:id="17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бюджетные обязательства, в которые внесены изменения в соответствии с настоящим пунктом, получателем средств местного бюджета вносятся изменения в части уточне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срока исполнения, графика оплаты бюджетного обязательства, а также, при необходимости, в части кодов </w:t>
      </w:r>
      <w:hyperlink r:id="rId2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бюджетной 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в соответствии с </w:t>
      </w:r>
      <w:hyperlink w:anchor="sub_100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 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10 Порядка № 258н не позднее первого рабочего дня апреля текущего финансового года.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10184"/>
      <w:bookmarkEnd w:id="1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в бюджетные обязательства изменений, в части кодов бюджетной классификации Российской Федерации по документам-основаниям, предусмотренным </w:t>
      </w: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осуществляется получателем средств местного бюджета не позднее первого февраля текущего финансового года.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10185"/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 Федерального казначейства в случае отрицательного результата проверки Сведений о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обязательстве, сформированных по бюджетным обязательствам направляет для сведения главному распорядителю (распорядителю) средств местного бюджета, в ведении которого находится получатель средств местного бюджета, </w:t>
      </w:r>
      <w:hyperlink w:anchor="sub_4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превышении не позднее следующего рабочего дня после дня совершения операций, предусмотренных настоящим пунктом.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10186"/>
      <w:bookmarkEnd w:id="20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по состоянию на первый рабочий день апреля текущего финансового года бюджетные обязательства превышают неиспользованные лим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иты бюджетных обязательств, отраженные на соответствующем лицевом счете получателя бюджетных средств, орган Федерального казначейства направляет главному распорядителю (распорядителю) средств местного бюджета, в ведении которого находится получатель средст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местного бюджета, и получателю средств федерального бюджета Уведомление о превышении в течение первого рабочего дня апреля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финансового года.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sub_10187"/>
      <w:bookmarkEnd w:id="2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ликвидации, реорганизации получателя средств местного о бюджета либо изменения типа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местного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ативных обязательств) органом Федерального казначейства вносятся изменения в ранее учтенные бюджетные обязательства получателя средств местного бюджета в части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аннулирования соответствующих неисполненных бюджетных обязательств.</w:t>
      </w:r>
      <w:bookmarkStart w:id="22" w:name="sub_1019"/>
      <w:bookmarkEnd w:id="22"/>
    </w:p>
    <w:p w:rsidR="00DA15C3" w:rsidRDefault="00DA15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15C3" w:rsidRDefault="00575D7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Учет бюджетных обязате</w:t>
      </w:r>
      <w:r>
        <w:rPr>
          <w:rFonts w:ascii="Times New Roman" w:hAnsi="Times New Roman" w:cs="Times New Roman"/>
        </w:rPr>
        <w:t>льств по исполнительным документам, решениям налоговых органов</w:t>
      </w:r>
      <w:bookmarkStart w:id="23" w:name="sub_1300"/>
      <w:bookmarkEnd w:id="23"/>
    </w:p>
    <w:p w:rsidR="00DA15C3" w:rsidRDefault="00DA15C3">
      <w:pPr>
        <w:rPr>
          <w:rFonts w:ascii="Times New Roman" w:hAnsi="Times New Roman" w:cs="Times New Roman"/>
          <w:sz w:val="24"/>
          <w:szCs w:val="24"/>
        </w:rPr>
      </w:pP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sub_1020"/>
      <w:bookmarkEnd w:id="2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</w:t>
      </w:r>
      <w:hyperlink w:anchor="sub_1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обязательстве, содержащие уточненную информацию о кодах </w:t>
      </w:r>
      <w:hyperlink r:id="rId2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бюджетной 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по которым должен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судебных актов либо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копий предусмотренных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астоящим пунктом 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</w:t>
      </w:r>
      <w:hyperlink r:id="rId3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электронной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подписью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лица, имеющего право действовать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имени получателя средств местного бюджета.</w:t>
      </w:r>
    </w:p>
    <w:p w:rsidR="00DA15C3" w:rsidRDefault="00575D79">
      <w:pPr>
        <w:pStyle w:val="1"/>
        <w:rPr>
          <w:rFonts w:ascii="Times New Roman" w:hAnsi="Times New Roman" w:cs="Times New Roman"/>
        </w:rPr>
      </w:pPr>
      <w:bookmarkStart w:id="25" w:name="sub_1021"/>
      <w:bookmarkEnd w:id="25"/>
      <w:r>
        <w:rPr>
          <w:rFonts w:ascii="Times New Roman" w:hAnsi="Times New Roman" w:cs="Times New Roman"/>
        </w:rPr>
        <w:t>IV. Постановка на учет денежных обязательств и внесение в них изменений</w:t>
      </w:r>
      <w:bookmarkStart w:id="26" w:name="sub_1400"/>
      <w:bookmarkEnd w:id="26"/>
    </w:p>
    <w:p w:rsidR="00DA15C3" w:rsidRDefault="00DA15C3">
      <w:pPr>
        <w:rPr>
          <w:rFonts w:ascii="Times New Roman" w:hAnsi="Times New Roman" w:cs="Times New Roman"/>
          <w:sz w:val="24"/>
          <w:szCs w:val="24"/>
        </w:rPr>
      </w:pP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 Сведения о денежных обязательствах по принятым бюджетным обязательствам не содержащие свед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ения, составляющие государственную тайну, формируются органами Федерального казначейства в срок, установленный для оплаты денежного обязательства в соответствии с </w:t>
      </w:r>
      <w:hyperlink r:id="rId3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санкциониров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ания оплаты денежных обязательств получателей средств федерального бюджета, установленном Министерством финансов Российской Федерации (далее - порядок санкционирования)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исключением случаев, указанных в </w:t>
      </w:r>
      <w:hyperlink w:anchor="sub_1022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третьем -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седьмом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денежных обязательствах по принятым бюджетным обязательствам, не содержащие сведения, составляющие государственную тайну, формируются получателем средств местного бюджета не позднее рабочего дня, следующего за днем возникновения денежного обязательства,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sub_10222"/>
      <w:bookmarkEnd w:id="27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sub_10223"/>
      <w:bookmarkEnd w:id="28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sub_10224"/>
      <w:bookmarkEnd w:id="29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дене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- документ о приемке) из единой информационной системы, одним распоряжением, сумма которо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государственному контракту, сформированного и подписанного без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 единой информационной системы, формирование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обязательстве, аналогичной информации в реестре контрактов);</w:t>
      </w:r>
      <w:bookmarkStart w:id="30" w:name="sub_10225"/>
      <w:bookmarkEnd w:id="30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денежного обязательства в период, превышающий срок, установленный для оплаты денежного обязательства в соответствии с требованиями </w:t>
      </w:r>
      <w:hyperlink r:id="rId32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санкционирования;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олнения государственного контракта по истечении 30 дней со дня его размещения государственным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зательства, возникшего в соответствии с </w:t>
      </w: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</w:t>
        </w:r>
        <w:proofErr w:type="gram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sub_3000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3 графы 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в рамках принятых бюджетных обязательств ранее поставлены на учет денежные обязательства по платежам,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обязательствам не осуществляется, если иной порядок расчетов по такому денежному обязательству не предусмотрен законодательством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  <w:bookmarkStart w:id="31" w:name="sub_1023"/>
      <w:bookmarkEnd w:id="31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24. Орган Федерального казначейства не позднее следующего рабочего дня со дня представления получателем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редств местного бюджета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по соответствующему бюджетному обязательству, учтенном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 соответствующем лицевом счете получателя бюджетных средств;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 N 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№ 258н;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по соответствующему 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у-основанию, документу, подтверждающему возникновение денежного обязательства,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Порядком № 258н.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sub_10244"/>
      <w:bookmarkEnd w:id="3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исполнения бюджетного обязательства, содержащего более одного кода </w:t>
      </w:r>
      <w:hyperlink r:id="rId33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местного бюджета, орган Федерального казначейства проводит проверку соответствия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едмета документа, подтверждающего возникновение денежного обязательства, указанного в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Сведениях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обязательстве, и документе, подтверждающем возникновение денежного обязательства, коду вида (кодам видов) расходов кл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ассификации расходов местного бюджета.</w:t>
      </w:r>
      <w:bookmarkStart w:id="33" w:name="sub_10245"/>
      <w:bookmarkEnd w:id="33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формировании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на основании документа, подтверждающего возникновение денежного обязательства, предусмотренного </w:t>
      </w:r>
      <w:hyperlink w:anchor="sub_3000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м 2 графы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Перечня, сформированного и подписанного без использования единой информационной системы, проверка осуществляется одновременно с проверкой соответствия информации, включаемой в Сведения о денежном обязательстве, аналогичной информации в реестре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положительного результата проверки, осуществляемой с использованием единой информационной системы,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денежных обязательствах и информация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положительном результате проверки в день осуществления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указанной проверки направляются в систему "Электронный бюджет" для автоматической постановки на учет денежного обязательства (внесения в него изменений).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положительного результата проверки Сведений о денежном обязательстве орган Федерального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казначейства присваивает учетный номер денежному обязательству (вносит в него изменения) и в день постановки на учет денежного обязательства (внесения изменений в денежное обязательство) направляет получателю средств местного бюджета извещение о постановке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учет (изменении) денежного обязательства в органе Федерального казначейства, реквизиты которого установлены </w:t>
      </w:r>
      <w:hyperlink w:anchor="sub_13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 N 13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№ 258н (далее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о денежном обязательстве).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13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Извещение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направляется получателю средств местного бюджета: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подписанного </w:t>
      </w:r>
      <w:hyperlink r:id="rId3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электронной подписью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уполномоченного лица органа Федерал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ьного казначейства, - в отношении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обязательстве, представленных в форме электронного документа.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реквизитов денежного обязательства.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1 по 19 разряд - учетный номер соответствующего бюджетного обязательства;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20 по 25 разряд - порядковый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номер денежного обязательства.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В случае отрицательного результата проверки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орган Федерального казначейства в день осуществления проверки: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денежных обязательствах, сформированных органом Федерального казначейства, направляет получателю средств местного бюджета уведомление в электронной форме, содержащее информацию, позволяющую идентифицировать Сведение о денежном обязательстве,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принятое к исполнению, а также содержащее дату и причину отказа;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получателю средств местного бюджета уведомление в электронном виде, если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представлялись в форме электронного докум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ента.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обязательстве, сформированных с использованием единой информационной системы, уведомление направляется с использованием единой информационной системы во взаимодействии с системой "Электр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онный бюджет".</w:t>
      </w:r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sub_10265"/>
      <w:bookmarkEnd w:id="3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зательством, указанным в </w:t>
      </w:r>
      <w:hyperlink w:anchor="sub_101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 18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№ 258н, подлежит учету в текущем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финансовом году на основании </w:t>
      </w:r>
      <w:hyperlink w:anchor="sub_2000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обязательстве, сформированных органом Федерального казначейства.</w:t>
      </w:r>
      <w:proofErr w:type="gramEnd"/>
    </w:p>
    <w:p w:rsidR="00DA15C3" w:rsidRDefault="00575D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sub_1027"/>
      <w:bookmarkEnd w:id="35"/>
      <w:r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если коды </w:t>
      </w:r>
      <w:hyperlink r:id="rId3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бюджетной классификации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по которым органом Федерального казначейства учтены денежные обязательства отчетного финансового года, в текущем фина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нсовом году являются несуществующими (недействующими), получатель средств местного бюджета уточняет указанные коды бюджетной классификации Российской Федерации в порядке и в срок, предусмотренные </w:t>
      </w:r>
      <w:hyperlink w:anchor="sub_101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 18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№ 258н.</w:t>
      </w:r>
    </w:p>
    <w:p w:rsidR="00DA15C3" w:rsidRDefault="00575D7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 xml:space="preserve"> Представление информации о бюджетных и денежных обязательствах, учтенных в органах Федерального казначейства</w:t>
      </w:r>
      <w:bookmarkStart w:id="36" w:name="sub_1500"/>
      <w:bookmarkEnd w:id="36"/>
    </w:p>
    <w:p w:rsidR="00DA15C3" w:rsidRDefault="00DA15C3">
      <w:pPr>
        <w:rPr>
          <w:rFonts w:ascii="Times New Roman" w:hAnsi="Times New Roman" w:cs="Times New Roman"/>
          <w:sz w:val="24"/>
          <w:szCs w:val="24"/>
        </w:rPr>
      </w:pPr>
    </w:p>
    <w:p w:rsidR="00DA15C3" w:rsidRDefault="00575D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бюджетных и денежных обязательства, учтенных Управлением Федерального казначейства, предоставляется аналогично порядку, срокам и</w:t>
      </w:r>
      <w:r>
        <w:rPr>
          <w:rFonts w:ascii="Times New Roman" w:hAnsi="Times New Roman" w:cs="Times New Roman"/>
          <w:sz w:val="24"/>
          <w:szCs w:val="24"/>
        </w:rPr>
        <w:t xml:space="preserve"> правилам заполнения документов, предусмотренным Порядком № 258н.</w:t>
      </w:r>
      <w:proofErr w:type="gramEnd"/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DA1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5C3" w:rsidRDefault="00575D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A15C3" w:rsidRDefault="0057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DA15C3" w:rsidRDefault="0057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обязательств получателей средств бюджета </w:t>
      </w:r>
    </w:p>
    <w:p w:rsidR="00DA15C3" w:rsidRDefault="0057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C3" w:rsidRDefault="0057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C3" w:rsidRDefault="00575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</w:t>
      </w:r>
      <w:r>
        <w:rPr>
          <w:rFonts w:ascii="Times New Roman" w:hAnsi="Times New Roman" w:cs="Times New Roman"/>
          <w:sz w:val="24"/>
          <w:szCs w:val="24"/>
        </w:rPr>
        <w:t>_2024 № ___</w:t>
      </w:r>
    </w:p>
    <w:p w:rsidR="00DA15C3" w:rsidRDefault="00DA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5C3" w:rsidRDefault="00575D79">
      <w:pPr>
        <w:spacing w:after="302" w:line="240" w:lineRule="auto"/>
        <w:ind w:left="115" w:right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DA15C3" w:rsidRDefault="00575D79">
      <w:pPr>
        <w:spacing w:after="302" w:line="240" w:lineRule="auto"/>
        <w:ind w:left="115" w:right="1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на основании которых возникают бюджетные и денежные обязательства получателей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, и документов, подтверждающих возникновение денежных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обязательств получателей средств </w:t>
      </w:r>
      <w:r>
        <w:rPr>
          <w:noProof/>
        </w:rPr>
        <w:drawing>
          <wp:inline distT="0" distB="0" distL="0" distR="0">
            <wp:extent cx="14605" cy="14605"/>
            <wp:effectExtent l="0" t="0" r="0" b="0"/>
            <wp:docPr id="2" name="Picture 2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714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Нижнесирского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tbl>
      <w:tblPr>
        <w:tblStyle w:val="TableGrid"/>
        <w:tblW w:w="9591" w:type="dxa"/>
        <w:tblInd w:w="-58" w:type="dxa"/>
        <w:tblCellMar>
          <w:top w:w="52" w:type="dxa"/>
          <w:left w:w="86" w:type="dxa"/>
          <w:right w:w="42" w:type="dxa"/>
        </w:tblCellMar>
        <w:tblLook w:val="04A0" w:firstRow="1" w:lastRow="0" w:firstColumn="1" w:lastColumn="0" w:noHBand="0" w:noVBand="1"/>
      </w:tblPr>
      <w:tblGrid>
        <w:gridCol w:w="765"/>
        <w:gridCol w:w="4117"/>
        <w:gridCol w:w="1976"/>
        <w:gridCol w:w="2733"/>
      </w:tblGrid>
      <w:tr w:rsidR="00DA15C3">
        <w:trPr>
          <w:trHeight w:val="93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на основании которого возникает бюджетное обязательство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269" w:right="290" w:firstLine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на основании которого возникает денежное обязательство</w:t>
            </w:r>
          </w:p>
        </w:tc>
      </w:tr>
      <w:tr w:rsidR="00DA15C3">
        <w:trPr>
          <w:trHeight w:val="326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C3">
        <w:trPr>
          <w:trHeight w:val="93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закупки*</w:t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 предусматривается</w:t>
            </w:r>
          </w:p>
        </w:tc>
      </w:tr>
      <w:tr w:rsidR="00DA15C3">
        <w:trPr>
          <w:trHeight w:val="330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 w:right="63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(договор) на поставку товаров, выполнение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 контрактов, заключенных заказчиками, (далее соответственно муниципальный контракт, реестр контрактов) *</w:t>
            </w:r>
            <w:proofErr w:type="gramEnd"/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DA15C3">
        <w:trPr>
          <w:trHeight w:val="323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DA15C3">
        <w:trPr>
          <w:trHeight w:val="311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DA15C3">
        <w:trPr>
          <w:trHeight w:val="1237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40" w:lineRule="auto"/>
              <w:ind w:left="10" w:right="23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(в случае осуществления авансовых платежей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условиями муниципального контракта)</w:t>
            </w:r>
          </w:p>
        </w:tc>
      </w:tr>
      <w:tr w:rsidR="00DA15C3">
        <w:trPr>
          <w:trHeight w:val="941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A15C3">
        <w:trPr>
          <w:trHeight w:val="311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DA15C3">
        <w:trPr>
          <w:trHeight w:val="313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15C3" w:rsidRDefault="00575D79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27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59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C3">
        <w:trPr>
          <w:trHeight w:val="637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 накладная (унифицированная форма № ТОРГ 12) (ф.0330212)</w:t>
            </w:r>
          </w:p>
        </w:tc>
      </w:tr>
      <w:tr w:rsidR="00DA15C3">
        <w:trPr>
          <w:trHeight w:val="627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DA15C3">
        <w:trPr>
          <w:trHeight w:val="317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DA15C3">
        <w:trPr>
          <w:trHeight w:val="313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DA15C3">
        <w:trPr>
          <w:trHeight w:val="311"/>
        </w:trPr>
        <w:tc>
          <w:tcPr>
            <w:tcW w:w="7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 получателя средств бюджета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(далее иной документ, подтверждающий возникновение денежного обязательства) по бюджетному обязательству получателя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муниципального контракта</w:t>
            </w:r>
          </w:p>
        </w:tc>
      </w:tr>
      <w:tr w:rsidR="00DA15C3">
        <w:trPr>
          <w:trHeight w:val="311"/>
        </w:trPr>
        <w:tc>
          <w:tcPr>
            <w:tcW w:w="7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(договор) на поставку товаров, выполнение работ, оказание услуг для обеспечения муниципальных нужд, сведения о котором не подлежат включению в реестр контрактов в соответствии с законодательством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о контрактной системе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муниципальных нужд (далее 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 оказании услуг 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(договор) (в случае осуществления авансовых платежей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контракта договора</w:t>
            </w:r>
            <w:proofErr w:type="gramEnd"/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tabs>
                <w:tab w:val="center" w:pos="624"/>
                <w:tab w:val="center" w:pos="3413"/>
              </w:tabs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накладная</w:t>
            </w:r>
          </w:p>
          <w:p w:rsidR="00DA15C3" w:rsidRDefault="00575D79">
            <w:pPr>
              <w:tabs>
                <w:tab w:val="center" w:pos="1157"/>
                <w:tab w:val="center" w:pos="3312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(унифицированная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форма N ТОРГ-12 (ф.0330212)</w:t>
            </w:r>
            <w:proofErr w:type="gramEnd"/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DA15C3">
        <w:trPr>
          <w:trHeight w:val="309"/>
        </w:trPr>
        <w:tc>
          <w:tcPr>
            <w:tcW w:w="7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16" w:right="10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договора</w:t>
            </w:r>
          </w:p>
        </w:tc>
      </w:tr>
    </w:tbl>
    <w:tbl>
      <w:tblPr>
        <w:tblStyle w:val="TableGrid"/>
        <w:tblpPr w:vertAnchor="text" w:tblpX="57"/>
        <w:tblW w:w="9495" w:type="dxa"/>
        <w:tblInd w:w="0" w:type="dxa"/>
        <w:tblCellMar>
          <w:top w:w="67" w:type="dxa"/>
          <w:left w:w="90" w:type="dxa"/>
          <w:right w:w="92" w:type="dxa"/>
        </w:tblCellMar>
        <w:tblLook w:val="04A0" w:firstRow="1" w:lastRow="0" w:firstColumn="1" w:lastColumn="0" w:noHBand="0" w:noVBand="1"/>
      </w:tblPr>
      <w:tblGrid>
        <w:gridCol w:w="571"/>
        <w:gridCol w:w="4245"/>
        <w:gridCol w:w="4679"/>
      </w:tblGrid>
      <w:tr w:rsidR="00DA15C3">
        <w:trPr>
          <w:trHeight w:val="471"/>
        </w:trPr>
        <w:tc>
          <w:tcPr>
            <w:tcW w:w="5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учреждению, а также субсидии юридическим и физическим лицам на возмещение фактически понесенных затрат)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предпринимателю или физическому лицу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соглашение) о предоставлении субсидии бюджетных инвестиций юридическому лицу), сведения о котором подлежат либо не подлежат включению в реестр соглашений)</w:t>
            </w:r>
            <w:proofErr w:type="gramEnd"/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DA15C3">
        <w:trPr>
          <w:trHeight w:val="397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DA15C3">
        <w:trPr>
          <w:trHeight w:val="457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</w:tc>
      </w:tr>
      <w:tr w:rsidR="00DA15C3">
        <w:trPr>
          <w:trHeight w:val="712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DA15C3">
        <w:trPr>
          <w:trHeight w:val="712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20" w:right="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юридического лица</w:t>
            </w:r>
          </w:p>
        </w:tc>
      </w:tr>
      <w:tr w:rsidR="00DA15C3">
        <w:trPr>
          <w:trHeight w:val="712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юридического лица (в случае осуществления в соответствии с законодательством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DA15C3">
        <w:trPr>
          <w:trHeight w:val="712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A15C3">
        <w:trPr>
          <w:trHeight w:val="424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DA15C3">
        <w:trPr>
          <w:trHeight w:val="360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фактура</w:t>
            </w:r>
          </w:p>
        </w:tc>
      </w:tr>
      <w:tr w:rsidR="00DA15C3">
        <w:trPr>
          <w:trHeight w:val="712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49" w:line="247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(унифицированная форма NТОРГ-12) (ф.0330212)</w:t>
            </w:r>
          </w:p>
        </w:tc>
      </w:tr>
      <w:tr w:rsidR="00DA15C3">
        <w:trPr>
          <w:trHeight w:val="1060"/>
        </w:trPr>
        <w:tc>
          <w:tcPr>
            <w:tcW w:w="5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71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DA15C3" w:rsidRDefault="00575D79">
            <w:pPr>
              <w:numPr>
                <w:ilvl w:val="0"/>
                <w:numId w:val="4"/>
              </w:numPr>
              <w:spacing w:after="0" w:line="273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условий, установленных при предоставлении субсидии юридическому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лицу, в соответствии с порядком (правилами) предоставления субсидии юридическому лицу;</w:t>
            </w:r>
          </w:p>
          <w:p w:rsidR="00DA15C3" w:rsidRDefault="00575D79">
            <w:p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 </w:t>
            </w:r>
          </w:p>
          <w:p w:rsidR="00DA15C3" w:rsidRDefault="00575D79">
            <w:pPr>
              <w:numPr>
                <w:ilvl w:val="0"/>
                <w:numId w:val="4"/>
              </w:numPr>
              <w:spacing w:after="0" w:line="259" w:lineRule="auto"/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Заявка на перечисление субсидии юридическому лицу) (при наличии)</w:t>
            </w:r>
          </w:p>
        </w:tc>
      </w:tr>
      <w:tr w:rsidR="00DA15C3">
        <w:trPr>
          <w:trHeight w:val="2597"/>
        </w:trPr>
        <w:tc>
          <w:tcPr>
            <w:tcW w:w="5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71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кновение денежного обязательства по бюджетному обязательству получателя средств бюджета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</w:tbl>
    <w:p w:rsidR="00DA15C3" w:rsidRDefault="00575D79">
      <w:pPr>
        <w:spacing w:after="0" w:line="259" w:lineRule="auto"/>
        <w:ind w:left="-1709" w:right="186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TableGrid"/>
        <w:tblpPr w:vertAnchor="text" w:tblpX="-32"/>
        <w:tblW w:w="9571" w:type="dxa"/>
        <w:tblInd w:w="0" w:type="dxa"/>
        <w:tblCellMar>
          <w:top w:w="66" w:type="dxa"/>
          <w:left w:w="100" w:type="dxa"/>
          <w:right w:w="92" w:type="dxa"/>
        </w:tblCellMar>
        <w:tblLook w:val="04A0" w:firstRow="1" w:lastRow="0" w:firstColumn="1" w:lastColumn="0" w:noHBand="0" w:noVBand="1"/>
      </w:tblPr>
      <w:tblGrid>
        <w:gridCol w:w="646"/>
        <w:gridCol w:w="4835"/>
        <w:gridCol w:w="4090"/>
      </w:tblGrid>
      <w:tr w:rsidR="00DA15C3">
        <w:trPr>
          <w:trHeight w:val="2175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pageBreakBefore/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ивный правовой 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субсидии юридическому лицу), сведения о котором подлежат либо не подлежат включение в реестр соглашений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Республики Хакасия,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Федерации казначейского сопровождения предоставления субсидии юридического лица</w:t>
            </w:r>
            <w:proofErr w:type="gramEnd"/>
          </w:p>
        </w:tc>
      </w:tr>
      <w:tr w:rsidR="00DA15C3">
        <w:trPr>
          <w:trHeight w:val="5839"/>
        </w:trPr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28" w:line="256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фактически произведенных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расходов (недополученных доходов):</w:t>
            </w:r>
          </w:p>
          <w:p w:rsidR="00DA15C3" w:rsidRDefault="00575D79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выполнении условий, 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субсидии юридическому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лицу,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порядком (правилами)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предоставления  субсидии юридическому лицу; документы, подтверждающие фактически произведенные расходы (недополученные доходы)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порядком (правилами)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субсидии юридическому лицу</w:t>
            </w:r>
          </w:p>
        </w:tc>
      </w:tr>
      <w:tr w:rsidR="00DA15C3">
        <w:trPr>
          <w:trHeight w:val="885"/>
        </w:trPr>
        <w:tc>
          <w:tcPr>
            <w:tcW w:w="646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28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перечисление субсидии юридическому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(при наличии)</w:t>
            </w:r>
          </w:p>
        </w:tc>
      </w:tr>
      <w:tr w:rsidR="00DA15C3">
        <w:trPr>
          <w:trHeight w:val="885"/>
        </w:trPr>
        <w:tc>
          <w:tcPr>
            <w:tcW w:w="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28" w:line="256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</w:tbl>
    <w:p w:rsidR="00DA15C3" w:rsidRDefault="00575D79">
      <w:pPr>
        <w:spacing w:after="0" w:line="259" w:lineRule="auto"/>
        <w:ind w:left="-1709" w:right="4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TableGrid"/>
        <w:tblpPr w:vertAnchor="text" w:tblpX="-109"/>
        <w:tblW w:w="9637" w:type="dxa"/>
        <w:tblInd w:w="0" w:type="dxa"/>
        <w:tblCellMar>
          <w:top w:w="56" w:type="dxa"/>
          <w:left w:w="29" w:type="dxa"/>
          <w:right w:w="55" w:type="dxa"/>
        </w:tblCellMar>
        <w:tblLook w:val="04A0" w:firstRow="1" w:lastRow="0" w:firstColumn="1" w:lastColumn="0" w:noHBand="0" w:noVBand="1"/>
      </w:tblPr>
      <w:tblGrid>
        <w:gridCol w:w="635"/>
        <w:gridCol w:w="4753"/>
        <w:gridCol w:w="4249"/>
      </w:tblGrid>
      <w:tr w:rsidR="00DA15C3">
        <w:trPr>
          <w:trHeight w:val="610"/>
        </w:trPr>
        <w:tc>
          <w:tcPr>
            <w:tcW w:w="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pageBreakBefore/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tabs>
                <w:tab w:val="center" w:pos="1042"/>
                <w:tab w:val="center" w:pos="418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Исполнительный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</w:t>
            </w:r>
          </w:p>
          <w:p w:rsidR="00DA15C3" w:rsidRDefault="00575D79">
            <w:pPr>
              <w:spacing w:after="0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(исполнительный лист, судебный приказ)</w:t>
            </w:r>
          </w:p>
          <w:p w:rsidR="00DA15C3" w:rsidRDefault="00575D79">
            <w:pPr>
              <w:spacing w:after="0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исполнительный документ)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tabs>
                <w:tab w:val="center" w:pos="806"/>
                <w:tab w:val="center" w:pos="3461"/>
              </w:tabs>
              <w:spacing w:after="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справка</w:t>
            </w:r>
          </w:p>
          <w:p w:rsidR="00DA15C3" w:rsidRDefault="00575D79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Ф.0504833)</w:t>
            </w:r>
          </w:p>
        </w:tc>
      </w:tr>
      <w:tr w:rsidR="00DA15C3">
        <w:trPr>
          <w:trHeight w:val="1231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DA15C3">
        <w:trPr>
          <w:trHeight w:val="312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DA15C3">
        <w:trPr>
          <w:trHeight w:val="312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</w:p>
        </w:tc>
      </w:tr>
      <w:tr w:rsidR="00DA15C3">
        <w:trPr>
          <w:trHeight w:val="2128"/>
        </w:trPr>
        <w:tc>
          <w:tcPr>
            <w:tcW w:w="6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20" w:right="5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возникшему на основании исполнительного до мента</w:t>
            </w:r>
          </w:p>
        </w:tc>
      </w:tr>
      <w:tr w:rsidR="00DA15C3">
        <w:trPr>
          <w:trHeight w:val="618"/>
        </w:trPr>
        <w:tc>
          <w:tcPr>
            <w:tcW w:w="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right="12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налогового органа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взыскании налога, сбора, пеней и штрафов (далее решение налогового органа)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tabs>
                <w:tab w:val="center" w:pos="806"/>
                <w:tab w:val="center" w:pos="3451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Бухгалтерская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справка</w:t>
            </w:r>
          </w:p>
          <w:p w:rsidR="00DA15C3" w:rsidRDefault="00575D79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Ф.0504833)</w:t>
            </w:r>
          </w:p>
        </w:tc>
      </w:tr>
      <w:tr w:rsidR="00DA15C3">
        <w:trPr>
          <w:trHeight w:val="387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DA15C3">
        <w:trPr>
          <w:trHeight w:val="416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DA15C3">
        <w:trPr>
          <w:trHeight w:val="2128"/>
        </w:trPr>
        <w:tc>
          <w:tcPr>
            <w:tcW w:w="6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возникшему на основании решения налогового органа</w:t>
            </w:r>
          </w:p>
        </w:tc>
      </w:tr>
      <w:tr w:rsidR="00DA15C3">
        <w:trPr>
          <w:trHeight w:val="315"/>
        </w:trPr>
        <w:tc>
          <w:tcPr>
            <w:tcW w:w="6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66" w:lineRule="auto"/>
              <w:ind w:left="87" w:right="12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пунктами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настоящего Перечня, в соответствии с которым возникает бюджетное обязательство получателя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15C3" w:rsidRDefault="00575D7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закон, иной нормативный правовой акт,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возникают публичные нормативные</w:t>
            </w:r>
          </w:p>
          <w:p w:rsidR="00DA15C3" w:rsidRDefault="00575D79">
            <w:pPr>
              <w:tabs>
                <w:tab w:val="right" w:pos="4627"/>
              </w:tabs>
              <w:spacing w:after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Обязательства, а также обязательства по уплате платежей в бюджет (не требующие заключения договора:</w:t>
            </w:r>
            <w:proofErr w:type="gramEnd"/>
          </w:p>
          <w:p w:rsidR="00DA15C3" w:rsidRDefault="00575D79">
            <w:pPr>
              <w:spacing w:after="4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направлены информация и документы по указанному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для их включения в реестр контрактов;</w:t>
            </w:r>
          </w:p>
          <w:p w:rsidR="00DA15C3" w:rsidRDefault="00575D79">
            <w:pPr>
              <w:spacing w:after="4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 на оказание услуг, выполнение работ, заключенный получателем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 лицом,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являющимся индивидуальным предпринимателем; документ на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услуг банка, расходов по доставке пособий и иных социальных выплат населению; </w:t>
            </w:r>
          </w:p>
          <w:p w:rsidR="00DA15C3" w:rsidRDefault="00575D79">
            <w:pPr>
              <w:spacing w:after="4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 на осуществление выплат по социальному обеспечению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исключением приобретения товаров, работ, услуг в пользу граждан в целях их социального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я);</w:t>
            </w:r>
          </w:p>
          <w:p w:rsidR="00DA15C3" w:rsidRDefault="00575D79">
            <w:pPr>
              <w:numPr>
                <w:ilvl w:val="0"/>
                <w:numId w:val="3"/>
              </w:numPr>
              <w:spacing w:after="4" w:line="247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работ по мобилизационной подготовке в Российской Федерации; соглашение о предоставлении бюджету поселения из республиканского бюджета бюджетного кредита.</w:t>
            </w:r>
          </w:p>
          <w:p w:rsidR="00DA15C3" w:rsidRDefault="00575D79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документ, в соответствии с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возникает бюджетное обязательство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лучателя средств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Авансовый отчет (Ф.0504505)</w:t>
            </w:r>
          </w:p>
        </w:tc>
      </w:tr>
      <w:tr w:rsidR="00DA15C3">
        <w:trPr>
          <w:trHeight w:val="312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DA15C3">
        <w:trPr>
          <w:trHeight w:val="321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DA15C3">
        <w:trPr>
          <w:trHeight w:val="307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DA15C3">
        <w:trPr>
          <w:trHeight w:val="307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сверки взаимных расчетов</w:t>
            </w:r>
          </w:p>
        </w:tc>
      </w:tr>
      <w:tr w:rsidR="00DA15C3">
        <w:trPr>
          <w:trHeight w:val="915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оказание услуг, выполнение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заключенный получателем средств бюджета</w:t>
            </w:r>
          </w:p>
          <w:p w:rsidR="00DA15C3" w:rsidRDefault="00575D79">
            <w:pPr>
              <w:spacing w:after="5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физическим лицом, не являющимся индивидуальным предпринимателем (договор с физическим лицом)</w:t>
            </w:r>
          </w:p>
        </w:tc>
      </w:tr>
      <w:tr w:rsidR="00DA15C3">
        <w:trPr>
          <w:trHeight w:val="915"/>
        </w:trPr>
        <w:tc>
          <w:tcPr>
            <w:tcW w:w="6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0" w:line="259" w:lineRule="auto"/>
              <w:ind w:left="10"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DA15C3">
        <w:trPr>
          <w:trHeight w:val="915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  <w:p w:rsidR="00DA15C3" w:rsidRDefault="00575D79">
            <w:pPr>
              <w:spacing w:after="321" w:line="247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договоров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лицами,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подписанный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получателя бюджетных средств или иным уполномоченным лицом</w:t>
            </w:r>
          </w:p>
        </w:tc>
      </w:tr>
      <w:tr w:rsidR="00DA15C3">
        <w:trPr>
          <w:trHeight w:val="1647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321" w:line="247" w:lineRule="auto"/>
              <w:ind w:left="-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договоров с физическими лицами,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подписанный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получателя бюджетных средств или иным уполномоченным лицом</w:t>
            </w:r>
          </w:p>
        </w:tc>
      </w:tr>
      <w:tr w:rsidR="00DA15C3">
        <w:trPr>
          <w:trHeight w:val="915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41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DA15C3">
        <w:trPr>
          <w:trHeight w:val="915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ind w:left="10" w:righ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 в командировку, с прилагаемым расчетом командировочных сумм</w:t>
            </w:r>
          </w:p>
        </w:tc>
      </w:tr>
      <w:tr w:rsidR="00DA15C3">
        <w:trPr>
          <w:trHeight w:val="443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DA15C3">
        <w:trPr>
          <w:trHeight w:val="464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</w:p>
        </w:tc>
      </w:tr>
      <w:tr w:rsidR="00DA15C3">
        <w:trPr>
          <w:trHeight w:val="332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39" w:line="240" w:lineRule="auto"/>
              <w:ind w:left="10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  <w:p w:rsidR="00DA15C3" w:rsidRDefault="00DA15C3">
            <w:pPr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C3">
        <w:trPr>
          <w:trHeight w:val="474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tabs>
                <w:tab w:val="center" w:pos="1450"/>
              </w:tabs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  <w:p w:rsidR="00DA15C3" w:rsidRDefault="00DA15C3">
            <w:pPr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C3">
        <w:trPr>
          <w:trHeight w:val="915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tabs>
                <w:tab w:val="right" w:pos="38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накладная</w:t>
            </w:r>
          </w:p>
          <w:p w:rsidR="00DA15C3" w:rsidRDefault="00575D79">
            <w:pPr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(унифицированная форма</w:t>
            </w:r>
            <w:proofErr w:type="gramEnd"/>
          </w:p>
          <w:p w:rsidR="00DA15C3" w:rsidRDefault="00575D79">
            <w:pPr>
              <w:tabs>
                <w:tab w:val="center" w:pos="1450"/>
              </w:tabs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ТОРГ-П (Ф.0330212) </w:t>
            </w:r>
          </w:p>
        </w:tc>
      </w:tr>
      <w:tr w:rsidR="00DA15C3">
        <w:trPr>
          <w:trHeight w:val="548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tabs>
                <w:tab w:val="center" w:pos="1450"/>
              </w:tabs>
              <w:spacing w:after="4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A15C3">
        <w:trPr>
          <w:trHeight w:val="435"/>
        </w:trPr>
        <w:tc>
          <w:tcPr>
            <w:tcW w:w="635" w:type="dxa"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after="29" w:line="240" w:lineRule="auto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DA15C3">
        <w:trPr>
          <w:trHeight w:val="1642"/>
        </w:trPr>
        <w:tc>
          <w:tcPr>
            <w:tcW w:w="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DA15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5C3" w:rsidRDefault="00575D79">
            <w:pPr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Таштыпского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A15C3" w:rsidRDefault="00DA15C3">
            <w:pPr>
              <w:spacing w:after="29" w:line="240" w:lineRule="auto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5C3" w:rsidRDefault="00DA15C3">
      <w:pPr>
        <w:spacing w:after="0" w:line="259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</w:p>
    <w:p w:rsidR="00DA15C3" w:rsidRDefault="00575D79">
      <w:pPr>
        <w:pStyle w:val="a9"/>
        <w:numPr>
          <w:ilvl w:val="0"/>
          <w:numId w:val="5"/>
        </w:numPr>
        <w:spacing w:after="289" w:line="220" w:lineRule="auto"/>
        <w:ind w:right="1632" w:firstLine="708"/>
        <w:rPr>
          <w:b/>
          <w:sz w:val="24"/>
          <w:szCs w:val="24"/>
        </w:rPr>
      </w:pPr>
      <w:bookmarkStart w:id="37" w:name="sub_10178"/>
      <w:bookmarkStart w:id="38" w:name="sub_1028"/>
      <w:r>
        <w:rPr>
          <w:sz w:val="24"/>
          <w:szCs w:val="24"/>
        </w:rPr>
        <w:lastRenderedPageBreak/>
        <w:t xml:space="preserve">Формирование сведений о бюджетных и денежных обязательствах осуществляется в единой </w:t>
      </w:r>
      <w:r>
        <w:rPr>
          <w:sz w:val="24"/>
          <w:szCs w:val="24"/>
        </w:rPr>
        <w:t>информационной системе</w:t>
      </w:r>
      <w:bookmarkEnd w:id="37"/>
      <w:bookmarkEnd w:id="38"/>
    </w:p>
    <w:sectPr w:rsidR="00DA15C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40C"/>
    <w:multiLevelType w:val="multilevel"/>
    <w:tmpl w:val="EF367E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80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2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40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2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8"/>
        <w:szCs w:val="38"/>
        <w:u w:val="none" w:color="000000"/>
        <w:vertAlign w:val="baseline"/>
      </w:rPr>
    </w:lvl>
  </w:abstractNum>
  <w:abstractNum w:abstractNumId="1">
    <w:nsid w:val="3987349D"/>
    <w:multiLevelType w:val="multilevel"/>
    <w:tmpl w:val="75D0431C"/>
    <w:lvl w:ilvl="0">
      <w:start w:val="1"/>
      <w:numFmt w:val="bullet"/>
      <w:lvlText w:val="-"/>
      <w:lvlJc w:val="left"/>
      <w:pPr>
        <w:ind w:left="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</w:abstractNum>
  <w:abstractNum w:abstractNumId="2">
    <w:nsid w:val="3E9353FC"/>
    <w:multiLevelType w:val="multilevel"/>
    <w:tmpl w:val="7D524CE8"/>
    <w:lvl w:ilvl="0">
      <w:start w:val="1"/>
      <w:numFmt w:val="decimal"/>
      <w:lvlText w:val="%1."/>
      <w:lvlJc w:val="left"/>
      <w:pPr>
        <w:ind w:left="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4153405A"/>
    <w:multiLevelType w:val="multilevel"/>
    <w:tmpl w:val="DE282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A7877F4"/>
    <w:multiLevelType w:val="multilevel"/>
    <w:tmpl w:val="2CA4D44E"/>
    <w:lvl w:ilvl="0">
      <w:start w:val="4"/>
      <w:numFmt w:val="decimal"/>
      <w:lvlText w:val="%1."/>
      <w:lvlJc w:val="left"/>
      <w:pPr>
        <w:ind w:left="7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6A8D67DF"/>
    <w:multiLevelType w:val="multilevel"/>
    <w:tmpl w:val="6D02416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3"/>
    <w:rsid w:val="00575D79"/>
    <w:rsid w:val="00D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52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1DA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80952"/>
    <w:rPr>
      <w:color w:val="0000FF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007E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sid w:val="00CA41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80952"/>
    <w:pPr>
      <w:spacing w:after="5" w:line="252" w:lineRule="auto"/>
      <w:ind w:left="720" w:right="4378" w:firstLine="710"/>
      <w:contextualSpacing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">
    <w:name w:val="Комментарий"/>
    <w:basedOn w:val="a"/>
    <w:next w:val="a"/>
    <w:uiPriority w:val="99"/>
    <w:qFormat/>
    <w:rsid w:val="00A85ACB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qFormat/>
    <w:rsid w:val="00A85ACB"/>
    <w:rPr>
      <w:i/>
      <w:iCs/>
    </w:rPr>
  </w:style>
  <w:style w:type="paragraph" w:customStyle="1" w:styleId="ConsPlusNormal">
    <w:name w:val="ConsPlusNormal"/>
    <w:qFormat/>
    <w:pPr>
      <w:widowControl w:val="0"/>
      <w:autoSpaceDE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63765F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D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52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1DA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80952"/>
    <w:rPr>
      <w:color w:val="0000FF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007E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sid w:val="00CA41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80952"/>
    <w:pPr>
      <w:spacing w:after="5" w:line="252" w:lineRule="auto"/>
      <w:ind w:left="720" w:right="4378" w:firstLine="710"/>
      <w:contextualSpacing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a">
    <w:name w:val="Комментарий"/>
    <w:basedOn w:val="a"/>
    <w:next w:val="a"/>
    <w:uiPriority w:val="99"/>
    <w:qFormat/>
    <w:rsid w:val="00A85ACB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qFormat/>
    <w:rsid w:val="00A85ACB"/>
    <w:rPr>
      <w:i/>
      <w:iCs/>
    </w:rPr>
  </w:style>
  <w:style w:type="paragraph" w:customStyle="1" w:styleId="ConsPlusNormal">
    <w:name w:val="ConsPlusNormal"/>
    <w:qFormat/>
    <w:pPr>
      <w:widowControl w:val="0"/>
      <w:autoSpaceDE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63765F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D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34158/" TargetMode="External"/><Relationship Id="rId13" Type="http://schemas.openxmlformats.org/officeDocument/2006/relationships/hyperlink" Target="http://ivo.garant.ru/document/redirect/12112604/2" TargetMode="External"/><Relationship Id="rId18" Type="http://schemas.openxmlformats.org/officeDocument/2006/relationships/hyperlink" Target="http://ivo.garant.ru/document/redirect/70353464/2" TargetMode="External"/><Relationship Id="rId26" Type="http://schemas.openxmlformats.org/officeDocument/2006/relationships/hyperlink" Target="http://ivo.garant.ru/document/redirect/404917355/1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403480268/5015" TargetMode="External"/><Relationship Id="rId34" Type="http://schemas.openxmlformats.org/officeDocument/2006/relationships/hyperlink" Target="http://ivo.garant.ru/document/redirect/12184522/21" TargetMode="External"/><Relationship Id="rId7" Type="http://schemas.openxmlformats.org/officeDocument/2006/relationships/hyperlink" Target="https://base.garant.ru/75034158/d3f0ba0cde79f8f65b892b5a781ae87a/" TargetMode="External"/><Relationship Id="rId12" Type="http://schemas.openxmlformats.org/officeDocument/2006/relationships/hyperlink" Target="http://ivo.garant.ru/document/redirect/77323059/1000" TargetMode="External"/><Relationship Id="rId17" Type="http://schemas.openxmlformats.org/officeDocument/2006/relationships/hyperlink" Target="http://ivo.garant.ru/document/redirect/74503725/1000" TargetMode="External"/><Relationship Id="rId25" Type="http://schemas.openxmlformats.org/officeDocument/2006/relationships/hyperlink" Target="http://ivo.garant.ru/document/redirect/74375072/1000" TargetMode="External"/><Relationship Id="rId33" Type="http://schemas.openxmlformats.org/officeDocument/2006/relationships/hyperlink" Target="http://ivo.garant.ru/document/redirect/404917355/1100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4917355/11000" TargetMode="External"/><Relationship Id="rId20" Type="http://schemas.openxmlformats.org/officeDocument/2006/relationships/hyperlink" Target="http://ivo.garant.ru/document/redirect/74503725/1028" TargetMode="External"/><Relationship Id="rId29" Type="http://schemas.openxmlformats.org/officeDocument/2006/relationships/hyperlink" Target="http://ivo.garant.ru/document/redirect/404917355/1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70353464/67c2a8d30625b9de7e93b635b19812ca/" TargetMode="External"/><Relationship Id="rId24" Type="http://schemas.openxmlformats.org/officeDocument/2006/relationships/hyperlink" Target="http://ivo.garant.ru/document/redirect/404917355/11000" TargetMode="External"/><Relationship Id="rId32" Type="http://schemas.openxmlformats.org/officeDocument/2006/relationships/hyperlink" Target="http://ivo.garant.ru/document/redirect/74997341/100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404917355/11000" TargetMode="External"/><Relationship Id="rId23" Type="http://schemas.openxmlformats.org/officeDocument/2006/relationships/hyperlink" Target="http://ivo.garant.ru/document/redirect/70867592/1000" TargetMode="External"/><Relationship Id="rId28" Type="http://schemas.openxmlformats.org/officeDocument/2006/relationships/hyperlink" Target="http://ivo.garant.ru/document/redirect/404917355/1000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base.garant.ru/403480268/dbbf55396485ded4dedffa851e00e761/" TargetMode="External"/><Relationship Id="rId19" Type="http://schemas.openxmlformats.org/officeDocument/2006/relationships/hyperlink" Target="http://ivo.garant.ru/document/redirect/74503725/1024" TargetMode="External"/><Relationship Id="rId31" Type="http://schemas.openxmlformats.org/officeDocument/2006/relationships/hyperlink" Target="http://ivo.garant.ru/document/redirect/74997341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353464/741609f9002bd54a24e5c49cb5af953b/" TargetMode="External"/><Relationship Id="rId14" Type="http://schemas.openxmlformats.org/officeDocument/2006/relationships/hyperlink" Target="http://ivo.garant.ru/document/redirect/404917355/1000" TargetMode="External"/><Relationship Id="rId22" Type="http://schemas.openxmlformats.org/officeDocument/2006/relationships/hyperlink" Target="http://ivo.garant.ru/document/redirect/12184522/21" TargetMode="External"/><Relationship Id="rId27" Type="http://schemas.openxmlformats.org/officeDocument/2006/relationships/hyperlink" Target="http://ivo.garant.ru/document/redirect/404917355/11000" TargetMode="External"/><Relationship Id="rId30" Type="http://schemas.openxmlformats.org/officeDocument/2006/relationships/hyperlink" Target="http://ivo.garant.ru/document/redirect/12184522/21" TargetMode="External"/><Relationship Id="rId35" Type="http://schemas.openxmlformats.org/officeDocument/2006/relationships/hyperlink" Target="http://ivo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7708</Words>
  <Characters>43937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Республике Хакасия</Company>
  <LinksUpToDate>false</LinksUpToDate>
  <CharactersWithSpaces>51542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Чатырева Людмила Николаевна</dc:creator>
  <dc:description/>
  <cp:lastModifiedBy>User</cp:lastModifiedBy>
  <cp:revision>48</cp:revision>
  <cp:lastPrinted>2024-02-20T07:59:00Z</cp:lastPrinted>
  <dcterms:created xsi:type="dcterms:W3CDTF">2024-02-09T04:34:00Z</dcterms:created>
  <dcterms:modified xsi:type="dcterms:W3CDTF">2024-02-20T08:01:00Z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УФК по Республике Хакасия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